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052DB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389AA784" w14:textId="77777777" w:rsidR="00B73F65" w:rsidRPr="00052DB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6E1D646" w14:textId="3A3FE0F6" w:rsidR="006C6AFC" w:rsidRPr="00052DB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052DB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052DB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052DB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Cs w:val="22"/>
        </w:rPr>
      </w:pPr>
      <w:proofErr w:type="spellStart"/>
      <w:proofErr w:type="gramStart"/>
      <w:r w:rsidRPr="00052DBC">
        <w:rPr>
          <w:rFonts w:cs="Arial"/>
          <w:szCs w:val="22"/>
        </w:rPr>
        <w:t>Ev.č</w:t>
      </w:r>
      <w:proofErr w:type="spellEnd"/>
      <w:r w:rsidRPr="00052DBC">
        <w:rPr>
          <w:rFonts w:cs="Arial"/>
          <w:szCs w:val="22"/>
        </w:rPr>
        <w:t>.</w:t>
      </w:r>
      <w:proofErr w:type="gramEnd"/>
      <w:r w:rsidR="00D313CF" w:rsidRPr="00052DBC">
        <w:rPr>
          <w:rFonts w:cs="Arial"/>
          <w:szCs w:val="22"/>
        </w:rPr>
        <w:t>:</w:t>
      </w:r>
      <w:r w:rsidRPr="00052DBC">
        <w:rPr>
          <w:rFonts w:cs="Arial"/>
          <w:szCs w:val="22"/>
        </w:rPr>
        <w:t xml:space="preserve"> 369130</w:t>
      </w:r>
    </w:p>
    <w:p w14:paraId="76E1D64A" w14:textId="77777777" w:rsidR="00B30EF1" w:rsidRPr="00052DB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Cs w:val="22"/>
        </w:rPr>
      </w:pPr>
    </w:p>
    <w:p w14:paraId="76E1D64D" w14:textId="77777777" w:rsidR="006C6AFC" w:rsidRPr="00052DB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052DBC">
        <w:rPr>
          <w:rFonts w:ascii="Arial" w:hAnsi="Arial" w:cs="Arial"/>
          <w:b/>
          <w:sz w:val="22"/>
          <w:szCs w:val="22"/>
        </w:rPr>
        <w:t>Zadavatel veřejné zakázky:</w:t>
      </w:r>
    </w:p>
    <w:p w14:paraId="76E1D64E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 xml:space="preserve">Česká republika – Ministerstvo práce a sociálních věcí </w:t>
      </w:r>
    </w:p>
    <w:p w14:paraId="76E1D64F" w14:textId="77777777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se sídlem Na Poříčním právu 1/376, 128 01 Praha 2</w:t>
      </w:r>
    </w:p>
    <w:p w14:paraId="76E1D650" w14:textId="2A3CAE9C" w:rsidR="006C6AFC" w:rsidRPr="00052DB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IČ</w:t>
      </w:r>
      <w:r w:rsidR="00803F89" w:rsidRPr="00052DBC">
        <w:rPr>
          <w:rFonts w:ascii="Arial" w:hAnsi="Arial" w:cs="Arial"/>
          <w:sz w:val="22"/>
          <w:szCs w:val="22"/>
        </w:rPr>
        <w:t>O</w:t>
      </w:r>
      <w:r w:rsidRPr="00052DBC">
        <w:rPr>
          <w:rFonts w:ascii="Arial" w:hAnsi="Arial" w:cs="Arial"/>
          <w:sz w:val="22"/>
          <w:szCs w:val="22"/>
        </w:rPr>
        <w:t>: 00551023</w:t>
      </w:r>
    </w:p>
    <w:p w14:paraId="76E1D651" w14:textId="77777777" w:rsidR="00B30EF1" w:rsidRPr="00052DBC" w:rsidRDefault="00B30EF1">
      <w:pPr>
        <w:spacing w:before="120" w:after="120" w:line="280" w:lineRule="atLeast"/>
        <w:jc w:val="center"/>
        <w:rPr>
          <w:rFonts w:ascii="Arial" w:hAnsi="Arial" w:cs="Arial"/>
          <w:sz w:val="22"/>
          <w:szCs w:val="22"/>
        </w:rPr>
      </w:pPr>
      <w:r w:rsidRPr="00052DBC">
        <w:rPr>
          <w:rFonts w:ascii="Arial" w:hAnsi="Arial" w:cs="Arial"/>
          <w:sz w:val="22"/>
          <w:szCs w:val="22"/>
        </w:rPr>
        <w:t>(dále jen „</w:t>
      </w:r>
      <w:r w:rsidRPr="00052DBC">
        <w:rPr>
          <w:rFonts w:ascii="Arial" w:hAnsi="Arial" w:cs="Arial"/>
          <w:b/>
          <w:sz w:val="22"/>
          <w:szCs w:val="22"/>
        </w:rPr>
        <w:t>zadavatel</w:t>
      </w:r>
      <w:r w:rsidRPr="00052DBC">
        <w:rPr>
          <w:rFonts w:ascii="Arial" w:hAnsi="Arial" w:cs="Arial"/>
          <w:sz w:val="22"/>
          <w:szCs w:val="22"/>
        </w:rPr>
        <w:t>“ nebo „</w:t>
      </w:r>
      <w:r w:rsidRPr="00052DBC">
        <w:rPr>
          <w:rFonts w:ascii="Arial" w:hAnsi="Arial" w:cs="Arial"/>
          <w:b/>
          <w:sz w:val="22"/>
          <w:szCs w:val="22"/>
        </w:rPr>
        <w:t>MPSV</w:t>
      </w:r>
      <w:r w:rsidRPr="00052DBC">
        <w:rPr>
          <w:rFonts w:ascii="Arial" w:hAnsi="Arial" w:cs="Arial"/>
          <w:sz w:val="22"/>
          <w:szCs w:val="22"/>
        </w:rPr>
        <w:t>“)</w:t>
      </w:r>
    </w:p>
    <w:p w14:paraId="76E1D652" w14:textId="77777777" w:rsidR="006C6AFC" w:rsidRPr="00052DB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5C6522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4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5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6" w14:textId="77777777" w:rsidR="006C6AFC" w:rsidRPr="008F46A1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7" w14:textId="77777777" w:rsidR="006C6AFC" w:rsidRPr="00D47E8F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58" w14:textId="77777777" w:rsidR="006C6AFC" w:rsidRPr="003D50CE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2"/>
          <w:szCs w:val="22"/>
        </w:rPr>
      </w:pPr>
    </w:p>
    <w:p w14:paraId="76E1D661" w14:textId="77777777" w:rsidR="00DB26BC" w:rsidRPr="00E12464" w:rsidRDefault="00DB26BC" w:rsidP="006C6AFC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0194680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4B26449" w14:textId="77777777" w:rsidR="00B73F65" w:rsidRPr="00E12464" w:rsidRDefault="00B73F6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A61569" w14:textId="04EA13F5" w:rsidR="00A31705" w:rsidRPr="00E12464" w:rsidRDefault="00A31705" w:rsidP="00A31705">
      <w:pPr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E12464">
        <w:rPr>
          <w:rFonts w:ascii="Arial" w:hAnsi="Arial" w:cs="Arial"/>
          <w:b/>
          <w:sz w:val="22"/>
          <w:szCs w:val="22"/>
        </w:rPr>
        <w:t xml:space="preserve">Dodatečné informace k zadávacím podmínkám č. </w:t>
      </w:r>
      <w:r w:rsidR="00DF2EA6">
        <w:rPr>
          <w:rFonts w:ascii="Arial" w:hAnsi="Arial" w:cs="Arial"/>
          <w:b/>
          <w:sz w:val="22"/>
          <w:szCs w:val="22"/>
        </w:rPr>
        <w:t>1</w:t>
      </w:r>
      <w:r w:rsidR="00456763">
        <w:rPr>
          <w:rFonts w:ascii="Arial" w:hAnsi="Arial" w:cs="Arial"/>
          <w:b/>
          <w:sz w:val="22"/>
          <w:szCs w:val="22"/>
        </w:rPr>
        <w:t>1</w:t>
      </w:r>
    </w:p>
    <w:p w14:paraId="025E7667" w14:textId="77777777" w:rsidR="00A31705" w:rsidRPr="00E12464" w:rsidRDefault="00A31705" w:rsidP="00A31705">
      <w:pPr>
        <w:rPr>
          <w:rFonts w:ascii="Arial" w:hAnsi="Arial" w:cs="Arial"/>
          <w:b/>
          <w:bCs/>
          <w:caps/>
          <w:sz w:val="22"/>
          <w:szCs w:val="22"/>
        </w:rPr>
      </w:pPr>
    </w:p>
    <w:p w14:paraId="6CE3BF50" w14:textId="08D19226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 xml:space="preserve">dle § 49 odst. </w:t>
      </w:r>
      <w:r w:rsidR="00262849" w:rsidRPr="00E12464">
        <w:rPr>
          <w:rFonts w:ascii="Arial" w:hAnsi="Arial" w:cs="Arial"/>
          <w:sz w:val="22"/>
          <w:szCs w:val="22"/>
        </w:rPr>
        <w:t xml:space="preserve">1 </w:t>
      </w:r>
      <w:r w:rsidRPr="00E12464">
        <w:rPr>
          <w:rFonts w:ascii="Arial" w:hAnsi="Arial" w:cs="Arial"/>
          <w:sz w:val="22"/>
          <w:szCs w:val="22"/>
        </w:rPr>
        <w:t>zákona č. 137/2006 Sb., o veřejných zakázkách, ve znění pozdějších předpisů</w:t>
      </w:r>
    </w:p>
    <w:p w14:paraId="782F437D" w14:textId="64072451" w:rsidR="00A31705" w:rsidRPr="00E12464" w:rsidRDefault="00A31705" w:rsidP="00A31705">
      <w:pPr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E12464">
        <w:rPr>
          <w:rFonts w:ascii="Arial" w:hAnsi="Arial" w:cs="Arial"/>
          <w:sz w:val="22"/>
          <w:szCs w:val="22"/>
        </w:rPr>
        <w:t>(dále jen „</w:t>
      </w:r>
      <w:r w:rsidRPr="00E12464">
        <w:rPr>
          <w:rFonts w:ascii="Arial" w:hAnsi="Arial" w:cs="Arial"/>
          <w:b/>
          <w:sz w:val="22"/>
          <w:szCs w:val="22"/>
        </w:rPr>
        <w:t>ZVZ</w:t>
      </w:r>
      <w:r w:rsidRPr="00E12464">
        <w:rPr>
          <w:rFonts w:ascii="Arial" w:hAnsi="Arial" w:cs="Arial"/>
          <w:sz w:val="22"/>
          <w:szCs w:val="22"/>
        </w:rPr>
        <w:t>“)</w:t>
      </w:r>
      <w:r w:rsidR="00A90207" w:rsidRPr="00E12464">
        <w:rPr>
          <w:rFonts w:ascii="Arial" w:hAnsi="Arial" w:cs="Arial"/>
          <w:sz w:val="22"/>
          <w:szCs w:val="22"/>
        </w:rPr>
        <w:t>.</w:t>
      </w:r>
    </w:p>
    <w:p w14:paraId="483D141C" w14:textId="77777777" w:rsidR="00A31705" w:rsidRPr="00E12464" w:rsidRDefault="00A31705" w:rsidP="00A31705">
      <w:pPr>
        <w:spacing w:line="320" w:lineRule="atLeast"/>
        <w:rPr>
          <w:rFonts w:ascii="Arial" w:eastAsia="Calibri" w:hAnsi="Arial" w:cs="Arial"/>
          <w:sz w:val="22"/>
          <w:szCs w:val="22"/>
          <w:lang w:eastAsia="en-US"/>
        </w:rPr>
      </w:pPr>
    </w:p>
    <w:p w14:paraId="0EAACF76" w14:textId="77777777" w:rsidR="00A31705" w:rsidRPr="00E12464" w:rsidRDefault="00A31705" w:rsidP="00A31705">
      <w:pPr>
        <w:spacing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4964C4F5" w14:textId="5D9676E4" w:rsidR="00262849" w:rsidRPr="00E12464" w:rsidRDefault="00A31705" w:rsidP="0026284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E12464">
        <w:rPr>
          <w:rFonts w:ascii="Arial" w:hAnsi="Arial" w:cs="Arial"/>
          <w:sz w:val="22"/>
          <w:szCs w:val="22"/>
          <w:lang w:eastAsia="x-none"/>
        </w:rPr>
        <w:lastRenderedPageBreak/>
        <w:t>MPSV</w:t>
      </w:r>
      <w:r w:rsidRPr="00E12464">
        <w:rPr>
          <w:rFonts w:ascii="Arial" w:hAnsi="Arial" w:cs="Arial"/>
          <w:sz w:val="22"/>
          <w:szCs w:val="22"/>
          <w:lang w:eastAsia="x-none"/>
        </w:rPr>
        <w:t>, jako zadavatel shora uvedené veřejné zakázky</w:t>
      </w:r>
      <w:r w:rsidR="00DF5417" w:rsidRPr="00E12464">
        <w:rPr>
          <w:rFonts w:ascii="Arial" w:hAnsi="Arial" w:cs="Arial"/>
          <w:sz w:val="22"/>
          <w:szCs w:val="22"/>
          <w:lang w:eastAsia="x-none"/>
        </w:rPr>
        <w:t>,</w:t>
      </w:r>
      <w:r w:rsidR="00307CC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>obdržel dne</w:t>
      </w:r>
      <w:r w:rsidR="0007218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456763">
        <w:rPr>
          <w:rFonts w:ascii="Arial" w:hAnsi="Arial" w:cs="Arial"/>
          <w:sz w:val="22"/>
          <w:szCs w:val="22"/>
          <w:lang w:eastAsia="x-none"/>
        </w:rPr>
        <w:t>1</w:t>
      </w:r>
      <w:r w:rsidR="00503561">
        <w:rPr>
          <w:rFonts w:ascii="Arial" w:hAnsi="Arial" w:cs="Arial"/>
          <w:sz w:val="22"/>
          <w:szCs w:val="22"/>
          <w:lang w:eastAsia="x-none"/>
        </w:rPr>
        <w:t>8</w:t>
      </w:r>
      <w:r w:rsidR="004A51F7" w:rsidRPr="00E12464">
        <w:rPr>
          <w:rFonts w:ascii="Arial" w:hAnsi="Arial" w:cs="Arial"/>
          <w:sz w:val="22"/>
          <w:szCs w:val="22"/>
          <w:lang w:eastAsia="x-none"/>
        </w:rPr>
        <w:t xml:space="preserve">. 3. 2014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 w:rsidR="00503561">
        <w:rPr>
          <w:rFonts w:ascii="Arial" w:hAnsi="Arial" w:cs="Arial"/>
          <w:sz w:val="22"/>
          <w:szCs w:val="22"/>
          <w:lang w:eastAsia="x-none"/>
        </w:rPr>
        <w:t>a 20.</w:t>
      </w:r>
      <w:r w:rsidR="00C72A3D">
        <w:rPr>
          <w:rFonts w:ascii="Arial" w:hAnsi="Arial" w:cs="Arial"/>
          <w:sz w:val="22"/>
          <w:szCs w:val="22"/>
          <w:lang w:eastAsia="x-none"/>
        </w:rPr>
        <w:t> </w:t>
      </w:r>
      <w:r w:rsidR="00503561">
        <w:rPr>
          <w:rFonts w:ascii="Arial" w:hAnsi="Arial" w:cs="Arial"/>
          <w:sz w:val="22"/>
          <w:szCs w:val="22"/>
          <w:lang w:eastAsia="x-none"/>
        </w:rPr>
        <w:t xml:space="preserve">3. 2014 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žádost o </w:t>
      </w:r>
      <w:r w:rsidR="00031131" w:rsidRPr="00E12464">
        <w:rPr>
          <w:rFonts w:ascii="Arial" w:hAnsi="Arial" w:cs="Arial"/>
          <w:sz w:val="22"/>
          <w:szCs w:val="22"/>
          <w:lang w:eastAsia="x-none"/>
        </w:rPr>
        <w:t>poskytnutí dodatečných informací</w:t>
      </w:r>
      <w:r w:rsidR="00262849" w:rsidRPr="00E12464">
        <w:rPr>
          <w:rFonts w:ascii="Arial" w:hAnsi="Arial" w:cs="Arial"/>
          <w:sz w:val="22"/>
          <w:szCs w:val="22"/>
          <w:lang w:eastAsia="x-none"/>
        </w:rPr>
        <w:t xml:space="preserve"> k zadávacím podmínkám. </w:t>
      </w:r>
    </w:p>
    <w:p w14:paraId="39E4C6A4" w14:textId="4B4F2F69" w:rsidR="00262849" w:rsidRPr="00E12464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2"/>
          <w:szCs w:val="22"/>
          <w:lang w:eastAsia="x-none"/>
        </w:rPr>
      </w:pPr>
      <w:r w:rsidRPr="00E12464">
        <w:rPr>
          <w:rFonts w:ascii="Arial" w:hAnsi="Arial" w:cs="Arial"/>
          <w:sz w:val="22"/>
          <w:szCs w:val="22"/>
          <w:lang w:eastAsia="x-none"/>
        </w:rPr>
        <w:t xml:space="preserve">Na níže 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>uveden</w:t>
      </w:r>
      <w:r w:rsidR="00DF2EA6">
        <w:rPr>
          <w:rFonts w:ascii="Arial" w:hAnsi="Arial" w:cs="Arial"/>
          <w:sz w:val="22"/>
          <w:szCs w:val="22"/>
          <w:lang w:eastAsia="x-none"/>
        </w:rPr>
        <w:t>é</w:t>
      </w:r>
      <w:r w:rsidR="007C1C5F" w:rsidRPr="00E12464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12464">
        <w:rPr>
          <w:rFonts w:ascii="Arial" w:hAnsi="Arial" w:cs="Arial"/>
          <w:sz w:val="22"/>
          <w:szCs w:val="22"/>
          <w:lang w:eastAsia="x-none"/>
        </w:rPr>
        <w:t>dotazy poskytuje zadavatel následující odpově</w:t>
      </w:r>
      <w:r w:rsidR="00DF2EA6">
        <w:rPr>
          <w:rFonts w:ascii="Arial" w:hAnsi="Arial" w:cs="Arial"/>
          <w:sz w:val="22"/>
          <w:szCs w:val="22"/>
          <w:lang w:eastAsia="x-none"/>
        </w:rPr>
        <w:t>di</w:t>
      </w:r>
      <w:r w:rsidRPr="00E12464">
        <w:rPr>
          <w:rFonts w:ascii="Arial" w:hAnsi="Arial" w:cs="Arial"/>
          <w:sz w:val="22"/>
          <w:szCs w:val="22"/>
          <w:lang w:eastAsia="x-none"/>
        </w:rPr>
        <w:t>:</w:t>
      </w:r>
    </w:p>
    <w:p w14:paraId="33AB26CB" w14:textId="77777777" w:rsidR="00052DBC" w:rsidRPr="00E12464" w:rsidRDefault="00052DBC" w:rsidP="002836A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5267DD7" w14:textId="589ECDAB" w:rsidR="004512DD" w:rsidRPr="005C6522" w:rsidRDefault="004512DD" w:rsidP="00E1246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456763" w:rsidRPr="00D47E8F">
        <w:rPr>
          <w:rFonts w:ascii="Arial" w:hAnsi="Arial" w:cs="Arial"/>
          <w:b/>
          <w:sz w:val="22"/>
          <w:szCs w:val="22"/>
          <w:lang w:eastAsia="x-none"/>
        </w:rPr>
        <w:t>8</w:t>
      </w:r>
      <w:r w:rsidR="00456763">
        <w:rPr>
          <w:rFonts w:ascii="Arial" w:hAnsi="Arial" w:cs="Arial"/>
          <w:b/>
          <w:sz w:val="22"/>
          <w:szCs w:val="22"/>
          <w:lang w:eastAsia="x-none"/>
        </w:rPr>
        <w:t>6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17EB1A8B" w14:textId="3269DDA7" w:rsidR="00456763" w:rsidRDefault="00456763" w:rsidP="00DF2EA6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456763">
        <w:rPr>
          <w:rFonts w:ascii="Arial" w:hAnsi="Arial" w:cs="Arial"/>
          <w:sz w:val="22"/>
          <w:szCs w:val="22"/>
        </w:rPr>
        <w:t xml:space="preserve">Doplnění k </w:t>
      </w:r>
      <w:proofErr w:type="gramStart"/>
      <w:r w:rsidRPr="00456763">
        <w:rPr>
          <w:rFonts w:ascii="Arial" w:hAnsi="Arial" w:cs="Arial"/>
          <w:b/>
          <w:sz w:val="22"/>
          <w:szCs w:val="22"/>
        </w:rPr>
        <w:t>Dotaz</w:t>
      </w:r>
      <w:proofErr w:type="gramEnd"/>
      <w:r w:rsidRPr="00456763">
        <w:rPr>
          <w:rFonts w:ascii="Arial" w:hAnsi="Arial" w:cs="Arial"/>
          <w:b/>
          <w:sz w:val="22"/>
          <w:szCs w:val="22"/>
        </w:rPr>
        <w:t xml:space="preserve"> č. 55</w:t>
      </w:r>
      <w:r w:rsidRPr="00456763">
        <w:rPr>
          <w:rFonts w:ascii="Arial" w:hAnsi="Arial" w:cs="Arial"/>
          <w:sz w:val="22"/>
          <w:szCs w:val="22"/>
        </w:rPr>
        <w:t xml:space="preserve"> - kolik sestav pro laickou veřejnost předpokládáte? Tento počet ovlivňuje kalkulovanou pracnost </w:t>
      </w:r>
    </w:p>
    <w:p w14:paraId="46F6AA42" w14:textId="04B28B11" w:rsidR="00784AAA" w:rsidRDefault="004512DD" w:rsidP="005E35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E13C9F1" w14:textId="77777777" w:rsidR="00E304C8" w:rsidRDefault="005E35B4" w:rsidP="005E35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5E35B4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 </w:t>
      </w:r>
      <w:r w:rsidRPr="005E35B4">
        <w:rPr>
          <w:rFonts w:ascii="Arial" w:hAnsi="Arial" w:cs="Arial"/>
          <w:sz w:val="22"/>
          <w:szCs w:val="22"/>
        </w:rPr>
        <w:t>do</w:t>
      </w:r>
      <w:r>
        <w:rPr>
          <w:rFonts w:ascii="Arial" w:hAnsi="Arial" w:cs="Arial"/>
          <w:sz w:val="22"/>
          <w:szCs w:val="22"/>
        </w:rPr>
        <w:t xml:space="preserve">tazu uchazeče zadavatel uvádí, že </w:t>
      </w:r>
      <w:r w:rsidR="00EF6C72">
        <w:rPr>
          <w:rFonts w:ascii="Arial" w:hAnsi="Arial" w:cs="Arial"/>
          <w:sz w:val="22"/>
          <w:szCs w:val="22"/>
        </w:rPr>
        <w:t xml:space="preserve">v Příloze č. 6 </w:t>
      </w:r>
      <w:r w:rsidR="00E304C8">
        <w:rPr>
          <w:rFonts w:ascii="Arial" w:hAnsi="Arial" w:cs="Arial"/>
          <w:sz w:val="22"/>
          <w:szCs w:val="22"/>
        </w:rPr>
        <w:t>zadávací dokumentace (dále jen „</w:t>
      </w:r>
      <w:r w:rsidR="00E304C8" w:rsidRPr="00D96414">
        <w:rPr>
          <w:rFonts w:ascii="Arial" w:hAnsi="Arial" w:cs="Arial"/>
          <w:b/>
          <w:sz w:val="22"/>
          <w:szCs w:val="22"/>
        </w:rPr>
        <w:t>ZD</w:t>
      </w:r>
      <w:r w:rsidR="00E304C8">
        <w:rPr>
          <w:rFonts w:ascii="Arial" w:hAnsi="Arial" w:cs="Arial"/>
          <w:sz w:val="22"/>
          <w:szCs w:val="22"/>
        </w:rPr>
        <w:t xml:space="preserve">“) s názvem </w:t>
      </w:r>
      <w:r w:rsidR="00EF6C72">
        <w:rPr>
          <w:rFonts w:ascii="Arial" w:hAnsi="Arial" w:cs="Arial"/>
          <w:sz w:val="22"/>
          <w:szCs w:val="22"/>
        </w:rPr>
        <w:t>„</w:t>
      </w:r>
      <w:r w:rsidR="00EF6C72" w:rsidRPr="00D96414">
        <w:rPr>
          <w:rFonts w:ascii="Arial" w:hAnsi="Arial" w:cs="Arial"/>
          <w:i/>
          <w:sz w:val="22"/>
          <w:szCs w:val="22"/>
        </w:rPr>
        <w:t>Funkční a technické požadavky</w:t>
      </w:r>
      <w:r w:rsidR="00EF6C72">
        <w:rPr>
          <w:rFonts w:ascii="Arial" w:hAnsi="Arial" w:cs="Arial"/>
          <w:sz w:val="22"/>
          <w:szCs w:val="22"/>
        </w:rPr>
        <w:t>“ je uveden požadavek Id F074, kdy „</w:t>
      </w:r>
      <w:r w:rsidR="00EF6C72" w:rsidRPr="00D96414">
        <w:rPr>
          <w:rFonts w:ascii="Arial" w:hAnsi="Arial" w:cs="Arial"/>
          <w:i/>
          <w:sz w:val="22"/>
          <w:szCs w:val="22"/>
        </w:rPr>
        <w:t>v rámci systému IS ESF 2014+ budou poskytovány vybrané sestavy o výsledcích projektu také veřejnost</w:t>
      </w:r>
      <w:r w:rsidR="00EF6C72" w:rsidRPr="00EF6C72">
        <w:rPr>
          <w:rFonts w:ascii="Arial" w:hAnsi="Arial" w:cs="Arial"/>
          <w:sz w:val="22"/>
          <w:szCs w:val="22"/>
        </w:rPr>
        <w:t>i</w:t>
      </w:r>
      <w:r w:rsidR="00EF6C72">
        <w:rPr>
          <w:rFonts w:ascii="Arial" w:hAnsi="Arial" w:cs="Arial"/>
          <w:sz w:val="22"/>
          <w:szCs w:val="22"/>
        </w:rPr>
        <w:t>“</w:t>
      </w:r>
      <w:r w:rsidR="00EF6C72" w:rsidRPr="00EF6C72">
        <w:rPr>
          <w:rFonts w:ascii="Arial" w:hAnsi="Arial" w:cs="Arial"/>
          <w:sz w:val="22"/>
          <w:szCs w:val="22"/>
        </w:rPr>
        <w:t>.</w:t>
      </w:r>
      <w:r w:rsidR="00EF6C72">
        <w:rPr>
          <w:rFonts w:ascii="Arial" w:hAnsi="Arial" w:cs="Arial"/>
          <w:sz w:val="22"/>
          <w:szCs w:val="22"/>
        </w:rPr>
        <w:t xml:space="preserve"> Předpokladem tedy je, že z dostupných sestav bude možné určit, která sestava / které sestavy budou </w:t>
      </w:r>
      <w:proofErr w:type="spellStart"/>
      <w:r w:rsidR="00EF6C72">
        <w:rPr>
          <w:rFonts w:ascii="Arial" w:hAnsi="Arial" w:cs="Arial"/>
          <w:sz w:val="22"/>
          <w:szCs w:val="22"/>
        </w:rPr>
        <w:t>vypublikovány</w:t>
      </w:r>
      <w:proofErr w:type="spellEnd"/>
      <w:r w:rsidR="00EF6C72">
        <w:rPr>
          <w:rFonts w:ascii="Arial" w:hAnsi="Arial" w:cs="Arial"/>
          <w:sz w:val="22"/>
          <w:szCs w:val="22"/>
        </w:rPr>
        <w:t xml:space="preserve"> v rámci stránek pro IS ESF 2014+ před „</w:t>
      </w:r>
      <w:r w:rsidR="00EF6C72" w:rsidRPr="00E304C8">
        <w:rPr>
          <w:rFonts w:ascii="Arial" w:hAnsi="Arial" w:cs="Arial"/>
          <w:sz w:val="22"/>
          <w:szCs w:val="22"/>
        </w:rPr>
        <w:t>vstupní bránu</w:t>
      </w:r>
      <w:r w:rsidR="00EF6C72">
        <w:rPr>
          <w:rFonts w:ascii="Arial" w:hAnsi="Arial" w:cs="Arial"/>
          <w:sz w:val="22"/>
          <w:szCs w:val="22"/>
        </w:rPr>
        <w:t xml:space="preserve">“ pro anonymní čtení (tzn. bez nutnosti přihlášení). </w:t>
      </w:r>
    </w:p>
    <w:p w14:paraId="508DC731" w14:textId="705BEE6E" w:rsidR="005E35B4" w:rsidRDefault="00EF6C72" w:rsidP="005E35B4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upozorňuje, že v kapitole 4.1.3. </w:t>
      </w:r>
      <w:r w:rsidR="00E304C8">
        <w:rPr>
          <w:rFonts w:ascii="Arial" w:hAnsi="Arial" w:cs="Arial"/>
          <w:sz w:val="22"/>
          <w:szCs w:val="22"/>
        </w:rPr>
        <w:t xml:space="preserve">Přílohy č. 6 ZD </w:t>
      </w:r>
      <w:r>
        <w:rPr>
          <w:rFonts w:ascii="Arial" w:hAnsi="Arial" w:cs="Arial"/>
          <w:sz w:val="22"/>
          <w:szCs w:val="22"/>
        </w:rPr>
        <w:t xml:space="preserve">„Publicita“ je požadováno, aby </w:t>
      </w:r>
      <w:r w:rsidRPr="00EF6C72">
        <w:rPr>
          <w:rFonts w:ascii="Arial" w:hAnsi="Arial" w:cs="Arial"/>
          <w:sz w:val="22"/>
          <w:szCs w:val="22"/>
        </w:rPr>
        <w:t>anonymizovaná data o účastnících, cílových skupinách, akcích, rozpočtech akcí v rámci projektů apod. b</w:t>
      </w:r>
      <w:r>
        <w:rPr>
          <w:rFonts w:ascii="Arial" w:hAnsi="Arial" w:cs="Arial"/>
          <w:sz w:val="22"/>
          <w:szCs w:val="22"/>
        </w:rPr>
        <w:t>yla</w:t>
      </w:r>
      <w:r w:rsidRPr="00EF6C72">
        <w:rPr>
          <w:rFonts w:ascii="Arial" w:hAnsi="Arial" w:cs="Arial"/>
          <w:sz w:val="22"/>
          <w:szCs w:val="22"/>
        </w:rPr>
        <w:t xml:space="preserve"> připravena tak, aby mohla být publikována na portálu ESF</w:t>
      </w:r>
      <w:r>
        <w:rPr>
          <w:rFonts w:ascii="Arial" w:hAnsi="Arial" w:cs="Arial"/>
          <w:sz w:val="22"/>
          <w:szCs w:val="22"/>
        </w:rPr>
        <w:t xml:space="preserve"> (tzn. </w:t>
      </w:r>
      <w:r w:rsidR="004C5C5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na doméně esfcr.cz)</w:t>
      </w:r>
      <w:r w:rsidRPr="00EF6C72">
        <w:rPr>
          <w:rFonts w:ascii="Arial" w:hAnsi="Arial" w:cs="Arial"/>
          <w:sz w:val="22"/>
          <w:szCs w:val="22"/>
        </w:rPr>
        <w:t xml:space="preserve"> rovněž ve strojově čitelné podobě dle principů </w:t>
      </w:r>
      <w:proofErr w:type="spellStart"/>
      <w:r w:rsidRPr="00EF6C72">
        <w:rPr>
          <w:rFonts w:ascii="Arial" w:hAnsi="Arial" w:cs="Arial"/>
          <w:sz w:val="22"/>
          <w:szCs w:val="22"/>
        </w:rPr>
        <w:t>Linked</w:t>
      </w:r>
      <w:proofErr w:type="spellEnd"/>
      <w:r w:rsidRPr="00EF6C72">
        <w:rPr>
          <w:rFonts w:ascii="Arial" w:hAnsi="Arial" w:cs="Arial"/>
          <w:sz w:val="22"/>
          <w:szCs w:val="22"/>
        </w:rPr>
        <w:t xml:space="preserve"> Open Data</w:t>
      </w:r>
      <w:r>
        <w:rPr>
          <w:rFonts w:ascii="Arial" w:hAnsi="Arial" w:cs="Arial"/>
          <w:sz w:val="22"/>
          <w:szCs w:val="22"/>
        </w:rPr>
        <w:t xml:space="preserve"> (LOD)</w:t>
      </w:r>
      <w:r w:rsidRPr="00EF6C7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Tento požadavek předpokládá, že data v podobě LOD bude možné dále automatizovaně zpracovat, tj. také nad těmito daty vystavět </w:t>
      </w:r>
      <w:proofErr w:type="gramStart"/>
      <w:r>
        <w:rPr>
          <w:rFonts w:ascii="Arial" w:hAnsi="Arial" w:cs="Arial"/>
          <w:sz w:val="22"/>
          <w:szCs w:val="22"/>
        </w:rPr>
        <w:t>aplikaci s</w:t>
      </w:r>
      <w:r w:rsidR="0013537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GUI</w:t>
      </w:r>
      <w:r w:rsidR="0013537D">
        <w:rPr>
          <w:rFonts w:ascii="Arial" w:hAnsi="Arial" w:cs="Arial"/>
          <w:sz w:val="22"/>
          <w:szCs w:val="22"/>
        </w:rPr>
        <w:t xml:space="preserve"> pro</w:t>
      </w:r>
      <w:proofErr w:type="gramEnd"/>
      <w:r w:rsidR="0013537D">
        <w:rPr>
          <w:rFonts w:ascii="Arial" w:hAnsi="Arial" w:cs="Arial"/>
          <w:sz w:val="22"/>
          <w:szCs w:val="22"/>
        </w:rPr>
        <w:t xml:space="preserve"> veřejnost. Samotná tvorba aplikace pro práci s LOD však není předmětem této veřejné zakázky. </w:t>
      </w:r>
      <w:r w:rsidR="00E304C8">
        <w:rPr>
          <w:rFonts w:ascii="Arial" w:hAnsi="Arial" w:cs="Arial"/>
          <w:sz w:val="22"/>
          <w:szCs w:val="22"/>
        </w:rPr>
        <w:t>P</w:t>
      </w:r>
      <w:r w:rsidR="0013537D">
        <w:rPr>
          <w:rFonts w:ascii="Arial" w:hAnsi="Arial" w:cs="Arial"/>
          <w:sz w:val="22"/>
          <w:szCs w:val="22"/>
        </w:rPr>
        <w:t>ředmět</w:t>
      </w:r>
      <w:r w:rsidR="00E304C8">
        <w:rPr>
          <w:rFonts w:ascii="Arial" w:hAnsi="Arial" w:cs="Arial"/>
          <w:sz w:val="22"/>
          <w:szCs w:val="22"/>
        </w:rPr>
        <w:t xml:space="preserve"> plnění této veřejné zakázky </w:t>
      </w:r>
      <w:r w:rsidR="0013537D">
        <w:rPr>
          <w:rFonts w:ascii="Arial" w:hAnsi="Arial" w:cs="Arial"/>
          <w:sz w:val="22"/>
          <w:szCs w:val="22"/>
        </w:rPr>
        <w:t xml:space="preserve">však </w:t>
      </w:r>
      <w:r w:rsidR="00E304C8">
        <w:rPr>
          <w:rFonts w:ascii="Arial" w:hAnsi="Arial" w:cs="Arial"/>
          <w:sz w:val="22"/>
          <w:szCs w:val="22"/>
        </w:rPr>
        <w:t xml:space="preserve">zahrnuje </w:t>
      </w:r>
      <w:r w:rsidR="0013537D">
        <w:rPr>
          <w:rFonts w:ascii="Arial" w:hAnsi="Arial" w:cs="Arial"/>
          <w:sz w:val="22"/>
          <w:szCs w:val="22"/>
        </w:rPr>
        <w:t xml:space="preserve">zajištění těchto </w:t>
      </w:r>
      <w:r w:rsidR="0013537D">
        <w:rPr>
          <w:rFonts w:ascii="Arial" w:hAnsi="Arial" w:cs="Arial"/>
          <w:b/>
          <w:sz w:val="22"/>
          <w:szCs w:val="22"/>
        </w:rPr>
        <w:t xml:space="preserve">možností: </w:t>
      </w:r>
    </w:p>
    <w:p w14:paraId="3D4A87D2" w14:textId="11D6D77E" w:rsidR="0013537D" w:rsidRDefault="0013537D" w:rsidP="0013537D">
      <w:pPr>
        <w:pStyle w:val="Odstavecseseznamem"/>
        <w:numPr>
          <w:ilvl w:val="0"/>
          <w:numId w:val="48"/>
        </w:num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3537D">
        <w:rPr>
          <w:rFonts w:ascii="Arial" w:hAnsi="Arial" w:cs="Arial"/>
          <w:sz w:val="22"/>
          <w:szCs w:val="22"/>
        </w:rPr>
        <w:t xml:space="preserve">Filtrování projektů a jejich atributů, anonymizovaných dat o podpořených osobách </w:t>
      </w:r>
      <w:r w:rsidR="004C5C5C">
        <w:rPr>
          <w:rFonts w:ascii="Arial" w:hAnsi="Arial" w:cs="Arial"/>
          <w:sz w:val="22"/>
          <w:szCs w:val="22"/>
        </w:rPr>
        <w:br/>
      </w:r>
      <w:r w:rsidRPr="0013537D">
        <w:rPr>
          <w:rFonts w:ascii="Arial" w:hAnsi="Arial" w:cs="Arial"/>
          <w:sz w:val="22"/>
          <w:szCs w:val="22"/>
        </w:rPr>
        <w:t>a jejich atributů</w:t>
      </w:r>
      <w:r w:rsidR="00E304C8">
        <w:rPr>
          <w:rFonts w:ascii="Arial" w:hAnsi="Arial" w:cs="Arial"/>
          <w:sz w:val="22"/>
          <w:szCs w:val="22"/>
        </w:rPr>
        <w:t>;</w:t>
      </w:r>
    </w:p>
    <w:p w14:paraId="019940D5" w14:textId="727E2804" w:rsidR="0013537D" w:rsidRPr="0013537D" w:rsidRDefault="0013537D" w:rsidP="0013537D">
      <w:pPr>
        <w:pStyle w:val="Odstavecseseznamem"/>
        <w:numPr>
          <w:ilvl w:val="0"/>
          <w:numId w:val="48"/>
        </w:num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Vyhledávání i</w:t>
      </w:r>
      <w:r w:rsidRPr="0013537D">
        <w:rPr>
          <w:rFonts w:ascii="Arial" w:hAnsi="Arial" w:cs="Arial"/>
          <w:sz w:val="22"/>
          <w:szCs w:val="22"/>
        </w:rPr>
        <w:t>nformac</w:t>
      </w:r>
      <w:r>
        <w:rPr>
          <w:rFonts w:ascii="Arial" w:hAnsi="Arial" w:cs="Arial"/>
          <w:sz w:val="22"/>
          <w:szCs w:val="22"/>
        </w:rPr>
        <w:t>í</w:t>
      </w:r>
      <w:r w:rsidRPr="0013537D">
        <w:rPr>
          <w:rFonts w:ascii="Arial" w:hAnsi="Arial" w:cs="Arial"/>
          <w:sz w:val="22"/>
          <w:szCs w:val="22"/>
        </w:rPr>
        <w:t xml:space="preserve"> o akcích na projektech</w:t>
      </w:r>
      <w:r w:rsidR="00E304C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5339931" w14:textId="2DCF50A5" w:rsidR="0013537D" w:rsidRPr="0013537D" w:rsidRDefault="0013537D" w:rsidP="0013537D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13537D">
        <w:rPr>
          <w:rFonts w:ascii="Arial" w:hAnsi="Arial" w:cs="Arial"/>
          <w:sz w:val="22"/>
          <w:szCs w:val="22"/>
        </w:rPr>
        <w:t xml:space="preserve">Tyto informace budou sloužit při řešení jednotlivých dotazů či požadavků zájemců o účast </w:t>
      </w:r>
      <w:r w:rsidR="004C5C5C">
        <w:rPr>
          <w:rFonts w:ascii="Arial" w:hAnsi="Arial" w:cs="Arial"/>
          <w:sz w:val="22"/>
          <w:szCs w:val="22"/>
        </w:rPr>
        <w:br/>
      </w:r>
      <w:r w:rsidRPr="0013537D">
        <w:rPr>
          <w:rFonts w:ascii="Arial" w:hAnsi="Arial" w:cs="Arial"/>
          <w:sz w:val="22"/>
          <w:szCs w:val="22"/>
        </w:rPr>
        <w:t xml:space="preserve">na projektu i pro publikování na webových stránkách (tj. esfcr.cz - např. databáze akcí projektů – data konání akcí, regionální mapa, atp.). Data budou sloužit při zpracovávání odpovědí na dotazy veřejnosti či novinářů a také při zpracovávání komunikačních </w:t>
      </w:r>
      <w:r w:rsidR="004C5C5C">
        <w:rPr>
          <w:rFonts w:ascii="Arial" w:hAnsi="Arial" w:cs="Arial"/>
          <w:sz w:val="22"/>
          <w:szCs w:val="22"/>
        </w:rPr>
        <w:br/>
      </w:r>
      <w:r w:rsidRPr="0013537D">
        <w:rPr>
          <w:rFonts w:ascii="Arial" w:hAnsi="Arial" w:cs="Arial"/>
          <w:sz w:val="22"/>
          <w:szCs w:val="22"/>
        </w:rPr>
        <w:t>a informačních aktivit.</w:t>
      </w:r>
    </w:p>
    <w:p w14:paraId="6A1F8F98" w14:textId="77777777" w:rsidR="005E35B4" w:rsidRPr="005E35B4" w:rsidRDefault="005E35B4" w:rsidP="005E35B4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</w:p>
    <w:p w14:paraId="436B40C1" w14:textId="02D596DC" w:rsidR="00456763" w:rsidRPr="005C6522" w:rsidRDefault="00456763" w:rsidP="00456763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>
        <w:rPr>
          <w:rFonts w:ascii="Arial" w:hAnsi="Arial" w:cs="Arial"/>
          <w:b/>
          <w:sz w:val="22"/>
          <w:szCs w:val="22"/>
          <w:lang w:eastAsia="x-none"/>
        </w:rPr>
        <w:t>7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049FF819" w14:textId="0555A848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456763">
        <w:rPr>
          <w:rFonts w:ascii="Arial" w:hAnsi="Arial" w:cs="Arial"/>
          <w:sz w:val="22"/>
          <w:szCs w:val="22"/>
        </w:rPr>
        <w:t xml:space="preserve">Doplnění k </w:t>
      </w:r>
      <w:proofErr w:type="gramStart"/>
      <w:r w:rsidRPr="00456763">
        <w:rPr>
          <w:rFonts w:ascii="Arial" w:hAnsi="Arial" w:cs="Arial"/>
          <w:b/>
          <w:sz w:val="22"/>
          <w:szCs w:val="22"/>
        </w:rPr>
        <w:t>Dotaz</w:t>
      </w:r>
      <w:proofErr w:type="gramEnd"/>
      <w:r w:rsidRPr="00456763">
        <w:rPr>
          <w:rFonts w:ascii="Arial" w:hAnsi="Arial" w:cs="Arial"/>
          <w:b/>
          <w:sz w:val="22"/>
          <w:szCs w:val="22"/>
        </w:rPr>
        <w:t xml:space="preserve"> č. 61 resp. 75</w:t>
      </w:r>
      <w:r w:rsidRPr="00456763">
        <w:rPr>
          <w:rFonts w:ascii="Arial" w:hAnsi="Arial" w:cs="Arial"/>
          <w:sz w:val="22"/>
          <w:szCs w:val="22"/>
        </w:rPr>
        <w:t xml:space="preserve"> - v odkazované příloze 8 je uveden popis indikátorů. Je tam uvedeno, jaký systém je nabízí. Nic však neříká o celkovém počtu interface, kterými se </w:t>
      </w:r>
      <w:r w:rsidR="004C5C5C">
        <w:rPr>
          <w:rFonts w:ascii="Arial" w:hAnsi="Arial" w:cs="Arial"/>
          <w:sz w:val="22"/>
          <w:szCs w:val="22"/>
        </w:rPr>
        <w:br/>
      </w:r>
      <w:r w:rsidRPr="00456763">
        <w:rPr>
          <w:rFonts w:ascii="Arial" w:hAnsi="Arial" w:cs="Arial"/>
          <w:sz w:val="22"/>
          <w:szCs w:val="22"/>
        </w:rPr>
        <w:t xml:space="preserve">z daných systémů indikátory získávají. Rovněž zde není uveden počet interface, které zprostředkovávají data, které nejsou identifikátorem (tj. zdrojová data např. o osobách, projektech…). Není nutný popis detailní struktury rozhraní dílčích systémů - stačí počty. </w:t>
      </w:r>
      <w:r w:rsidRPr="00456763">
        <w:rPr>
          <w:rFonts w:ascii="Arial" w:hAnsi="Arial" w:cs="Arial"/>
          <w:b/>
          <w:sz w:val="22"/>
          <w:szCs w:val="22"/>
        </w:rPr>
        <w:t>Tyto informace jsou zásadní pro odhad pracnosti integračních prací.</w:t>
      </w:r>
    </w:p>
    <w:p w14:paraId="07FD823F" w14:textId="77777777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37A4FFA" w14:textId="42257992" w:rsidR="00456763" w:rsidRDefault="005E35B4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lastRenderedPageBreak/>
        <w:t>Zadavatel k dotazu uchazeče uvádí, že v</w:t>
      </w:r>
      <w:r w:rsidR="000B0C90">
        <w:rPr>
          <w:rFonts w:ascii="Arial" w:hAnsi="Arial" w:cs="Arial"/>
          <w:sz w:val="22"/>
          <w:szCs w:val="22"/>
          <w:lang w:eastAsia="x-none"/>
        </w:rPr>
        <w:t> </w:t>
      </w:r>
      <w:r w:rsidR="00E304C8">
        <w:rPr>
          <w:rFonts w:ascii="Arial" w:hAnsi="Arial" w:cs="Arial"/>
          <w:sz w:val="22"/>
          <w:szCs w:val="22"/>
          <w:lang w:eastAsia="x-none"/>
        </w:rPr>
        <w:t>P</w:t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říloze </w:t>
      </w:r>
      <w:r w:rsidR="00E304C8">
        <w:rPr>
          <w:rFonts w:ascii="Arial" w:hAnsi="Arial" w:cs="Arial"/>
          <w:sz w:val="22"/>
          <w:szCs w:val="22"/>
          <w:lang w:eastAsia="x-none"/>
        </w:rPr>
        <w:t xml:space="preserve">č. </w:t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8 </w:t>
      </w:r>
      <w:r w:rsidR="00E304C8">
        <w:rPr>
          <w:rFonts w:ascii="Arial" w:hAnsi="Arial" w:cs="Arial"/>
          <w:sz w:val="22"/>
          <w:szCs w:val="22"/>
          <w:lang w:eastAsia="x-none"/>
        </w:rPr>
        <w:t xml:space="preserve">ZD </w:t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jsou uvedena zdrojová data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pro výpočet indikátorů a u každé položky je uveden zdroj dat. </w:t>
      </w:r>
      <w:r w:rsidR="00E304C8">
        <w:rPr>
          <w:rFonts w:ascii="Arial" w:hAnsi="Arial" w:cs="Arial"/>
          <w:sz w:val="22"/>
          <w:szCs w:val="22"/>
          <w:lang w:eastAsia="x-none"/>
        </w:rPr>
        <w:t xml:space="preserve">Zadavateli nyní není </w:t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známo, zda každý subjekt, na který bude řešení integrované, bude poskytovat jednu nebo více webových služeb. </w:t>
      </w:r>
    </w:p>
    <w:p w14:paraId="74F9AAAF" w14:textId="0985B5BC" w:rsidR="002F7353" w:rsidRDefault="002F7353" w:rsidP="002F73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573CFE93" w14:textId="178E4853" w:rsidR="00456763" w:rsidRPr="005C6522" w:rsidRDefault="00456763" w:rsidP="00456763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>
        <w:rPr>
          <w:rFonts w:ascii="Arial" w:hAnsi="Arial" w:cs="Arial"/>
          <w:b/>
          <w:sz w:val="22"/>
          <w:szCs w:val="22"/>
          <w:lang w:eastAsia="x-none"/>
        </w:rPr>
        <w:t>8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63D13261" w14:textId="32B59E59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456763">
        <w:rPr>
          <w:rFonts w:ascii="Arial" w:hAnsi="Arial" w:cs="Arial"/>
          <w:sz w:val="22"/>
          <w:szCs w:val="22"/>
        </w:rPr>
        <w:t xml:space="preserve">Doplnění k </w:t>
      </w:r>
      <w:proofErr w:type="gramStart"/>
      <w:r w:rsidRPr="00456763">
        <w:rPr>
          <w:rFonts w:ascii="Arial" w:hAnsi="Arial" w:cs="Arial"/>
          <w:b/>
          <w:sz w:val="22"/>
          <w:szCs w:val="22"/>
        </w:rPr>
        <w:t>Dotaz</w:t>
      </w:r>
      <w:proofErr w:type="gramEnd"/>
      <w:r w:rsidRPr="00456763">
        <w:rPr>
          <w:rFonts w:ascii="Arial" w:hAnsi="Arial" w:cs="Arial"/>
          <w:b/>
          <w:sz w:val="22"/>
          <w:szCs w:val="22"/>
        </w:rPr>
        <w:t xml:space="preserve"> č. 70</w:t>
      </w:r>
      <w:r w:rsidRPr="00456763">
        <w:rPr>
          <w:rFonts w:ascii="Arial" w:hAnsi="Arial" w:cs="Arial"/>
          <w:sz w:val="22"/>
          <w:szCs w:val="22"/>
        </w:rPr>
        <w:t xml:space="preserve"> - Číselník druhů podpory je globální tj. druhy podpory přidané v rámci zadávání akce u jednoho projektu budou automaticky od okamžiku zadání k dispozici </w:t>
      </w:r>
      <w:r w:rsidR="004C5C5C">
        <w:rPr>
          <w:rFonts w:ascii="Arial" w:hAnsi="Arial" w:cs="Arial"/>
          <w:sz w:val="22"/>
          <w:szCs w:val="22"/>
        </w:rPr>
        <w:br/>
      </w:r>
      <w:r w:rsidRPr="00456763">
        <w:rPr>
          <w:rFonts w:ascii="Arial" w:hAnsi="Arial" w:cs="Arial"/>
          <w:sz w:val="22"/>
          <w:szCs w:val="22"/>
        </w:rPr>
        <w:t>i pro další projekty/akce?)</w:t>
      </w:r>
    </w:p>
    <w:p w14:paraId="2CF8C28B" w14:textId="6B86A74D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E4C069E" w14:textId="0532B0BA" w:rsidR="00456763" w:rsidRDefault="005E35B4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uchazeče uvádí, že č</w:t>
      </w:r>
      <w:r w:rsidR="000B0C90">
        <w:rPr>
          <w:rFonts w:ascii="Arial" w:hAnsi="Arial" w:cs="Arial"/>
          <w:sz w:val="22"/>
          <w:szCs w:val="22"/>
          <w:lang w:eastAsia="x-none"/>
        </w:rPr>
        <w:t>íselník podpor bude globální, evidován v systému IS ESF 2014+. Při zadávání informací o akci budou uživatelé vybírat hodnoty z číselníku podpor.</w:t>
      </w:r>
    </w:p>
    <w:p w14:paraId="265B004A" w14:textId="77777777" w:rsidR="00456763" w:rsidRDefault="00456763" w:rsidP="002F73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3F98827F" w14:textId="712BE796" w:rsidR="00456763" w:rsidRPr="005C6522" w:rsidRDefault="00456763" w:rsidP="00456763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>Dotaz č. 8</w:t>
      </w:r>
      <w:r>
        <w:rPr>
          <w:rFonts w:ascii="Arial" w:hAnsi="Arial" w:cs="Arial"/>
          <w:b/>
          <w:sz w:val="22"/>
          <w:szCs w:val="22"/>
          <w:lang w:eastAsia="x-none"/>
        </w:rPr>
        <w:t>9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546F90EF" w14:textId="50B57DE0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456763">
        <w:rPr>
          <w:rFonts w:ascii="Arial" w:hAnsi="Arial" w:cs="Arial"/>
          <w:sz w:val="22"/>
          <w:szCs w:val="22"/>
        </w:rPr>
        <w:t xml:space="preserve">Doplnění k </w:t>
      </w:r>
      <w:proofErr w:type="gramStart"/>
      <w:r w:rsidRPr="00456763">
        <w:rPr>
          <w:rFonts w:ascii="Arial" w:hAnsi="Arial" w:cs="Arial"/>
          <w:b/>
          <w:sz w:val="22"/>
          <w:szCs w:val="22"/>
        </w:rPr>
        <w:t>Dotaz</w:t>
      </w:r>
      <w:proofErr w:type="gramEnd"/>
      <w:r w:rsidRPr="00456763">
        <w:rPr>
          <w:rFonts w:ascii="Arial" w:hAnsi="Arial" w:cs="Arial"/>
          <w:b/>
          <w:sz w:val="22"/>
          <w:szCs w:val="22"/>
        </w:rPr>
        <w:t xml:space="preserve"> č. 74 </w:t>
      </w:r>
      <w:r w:rsidRPr="00456763">
        <w:rPr>
          <w:rFonts w:ascii="Arial" w:hAnsi="Arial" w:cs="Arial"/>
          <w:sz w:val="22"/>
          <w:szCs w:val="22"/>
        </w:rPr>
        <w:t xml:space="preserve">- Postačí naplnit požadavek 99% dostupnosti systému, aniž by byl naplněn požadavek na architekturu bez Single Point </w:t>
      </w:r>
      <w:proofErr w:type="spellStart"/>
      <w:r w:rsidRPr="00456763">
        <w:rPr>
          <w:rFonts w:ascii="Arial" w:hAnsi="Arial" w:cs="Arial"/>
          <w:sz w:val="22"/>
          <w:szCs w:val="22"/>
        </w:rPr>
        <w:t>of</w:t>
      </w:r>
      <w:proofErr w:type="spellEnd"/>
      <w:r w:rsidRPr="0045676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56763">
        <w:rPr>
          <w:rFonts w:ascii="Arial" w:hAnsi="Arial" w:cs="Arial"/>
          <w:sz w:val="22"/>
          <w:szCs w:val="22"/>
        </w:rPr>
        <w:t>Failure</w:t>
      </w:r>
      <w:proofErr w:type="spellEnd"/>
      <w:r w:rsidRPr="00456763">
        <w:rPr>
          <w:rFonts w:ascii="Arial" w:hAnsi="Arial" w:cs="Arial"/>
          <w:sz w:val="22"/>
          <w:szCs w:val="22"/>
        </w:rPr>
        <w:t xml:space="preserve">? Technicky lze tuto dostupnost dosáhnout i s podstatně levnějším řešením než </w:t>
      </w:r>
      <w:proofErr w:type="spellStart"/>
      <w:r w:rsidRPr="00456763">
        <w:rPr>
          <w:rFonts w:ascii="Arial" w:hAnsi="Arial" w:cs="Arial"/>
          <w:sz w:val="22"/>
          <w:szCs w:val="22"/>
        </w:rPr>
        <w:t>fail</w:t>
      </w:r>
      <w:proofErr w:type="spellEnd"/>
      <w:r w:rsidRPr="00456763">
        <w:rPr>
          <w:rFonts w:ascii="Arial" w:hAnsi="Arial" w:cs="Arial"/>
          <w:sz w:val="22"/>
          <w:szCs w:val="22"/>
        </w:rPr>
        <w:t>-</w:t>
      </w:r>
      <w:proofErr w:type="spellStart"/>
      <w:r w:rsidRPr="00456763">
        <w:rPr>
          <w:rFonts w:ascii="Arial" w:hAnsi="Arial" w:cs="Arial"/>
          <w:sz w:val="22"/>
          <w:szCs w:val="22"/>
        </w:rPr>
        <w:t>over</w:t>
      </w:r>
      <w:proofErr w:type="spellEnd"/>
      <w:r w:rsidRPr="00456763">
        <w:rPr>
          <w:rFonts w:ascii="Arial" w:hAnsi="Arial" w:cs="Arial"/>
          <w:sz w:val="22"/>
          <w:szCs w:val="22"/>
        </w:rPr>
        <w:t>-cluster.</w:t>
      </w:r>
    </w:p>
    <w:p w14:paraId="3715C9C9" w14:textId="57180CF2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9EAEE92" w14:textId="1AD6F71F" w:rsidR="00456763" w:rsidRDefault="000B0C90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Architektura řešení bez </w:t>
      </w:r>
      <w:r w:rsidR="00341091">
        <w:rPr>
          <w:rFonts w:ascii="Arial" w:hAnsi="Arial" w:cs="Arial"/>
          <w:sz w:val="22"/>
          <w:szCs w:val="22"/>
          <w:lang w:eastAsia="x-none"/>
        </w:rPr>
        <w:t>„</w:t>
      </w:r>
      <w:r w:rsidRPr="00D96414">
        <w:rPr>
          <w:rFonts w:ascii="Arial" w:hAnsi="Arial" w:cs="Arial"/>
          <w:i/>
          <w:sz w:val="22"/>
          <w:szCs w:val="22"/>
          <w:lang w:eastAsia="x-none"/>
        </w:rPr>
        <w:t xml:space="preserve">Single Point </w:t>
      </w:r>
      <w:proofErr w:type="spellStart"/>
      <w:r w:rsidRPr="00D96414">
        <w:rPr>
          <w:rFonts w:ascii="Arial" w:hAnsi="Arial" w:cs="Arial"/>
          <w:i/>
          <w:sz w:val="22"/>
          <w:szCs w:val="22"/>
          <w:lang w:eastAsia="x-none"/>
        </w:rPr>
        <w:t>of</w:t>
      </w:r>
      <w:proofErr w:type="spellEnd"/>
      <w:r w:rsidRPr="00D96414">
        <w:rPr>
          <w:rFonts w:ascii="Arial" w:hAnsi="Arial" w:cs="Arial"/>
          <w:i/>
          <w:sz w:val="22"/>
          <w:szCs w:val="22"/>
          <w:lang w:eastAsia="x-none"/>
        </w:rPr>
        <w:t xml:space="preserve"> </w:t>
      </w:r>
      <w:proofErr w:type="spellStart"/>
      <w:r w:rsidRPr="00D96414">
        <w:rPr>
          <w:rFonts w:ascii="Arial" w:hAnsi="Arial" w:cs="Arial"/>
          <w:i/>
          <w:sz w:val="22"/>
          <w:szCs w:val="22"/>
          <w:lang w:eastAsia="x-none"/>
        </w:rPr>
        <w:t>Failure</w:t>
      </w:r>
      <w:proofErr w:type="spellEnd"/>
      <w:r w:rsidR="00341091">
        <w:rPr>
          <w:rFonts w:ascii="Arial" w:hAnsi="Arial" w:cs="Arial"/>
          <w:sz w:val="22"/>
          <w:szCs w:val="22"/>
          <w:lang w:eastAsia="x-none"/>
        </w:rPr>
        <w:t>“</w:t>
      </w:r>
      <w:r>
        <w:rPr>
          <w:rFonts w:ascii="Arial" w:hAnsi="Arial" w:cs="Arial"/>
          <w:sz w:val="22"/>
          <w:szCs w:val="22"/>
          <w:lang w:eastAsia="x-none"/>
        </w:rPr>
        <w:t xml:space="preserve"> je požadována.</w:t>
      </w:r>
      <w:r w:rsidR="00341091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E304C8">
        <w:rPr>
          <w:rFonts w:ascii="Arial" w:hAnsi="Arial" w:cs="Arial"/>
          <w:sz w:val="22"/>
          <w:szCs w:val="22"/>
          <w:lang w:eastAsia="x-none"/>
        </w:rPr>
        <w:t>Zadavatel p</w:t>
      </w:r>
      <w:r w:rsidR="00341091">
        <w:rPr>
          <w:rFonts w:ascii="Arial" w:hAnsi="Arial" w:cs="Arial"/>
          <w:sz w:val="22"/>
          <w:szCs w:val="22"/>
          <w:lang w:eastAsia="x-none"/>
        </w:rPr>
        <w:t xml:space="preserve">ovažuje takový požadavek na architekturu jako vhodný, </w:t>
      </w:r>
      <w:r w:rsidR="00E304C8">
        <w:rPr>
          <w:rFonts w:ascii="Arial" w:hAnsi="Arial" w:cs="Arial"/>
          <w:sz w:val="22"/>
          <w:szCs w:val="22"/>
          <w:lang w:eastAsia="x-none"/>
        </w:rPr>
        <w:t xml:space="preserve">a to </w:t>
      </w:r>
      <w:r w:rsidR="00341091">
        <w:rPr>
          <w:rFonts w:ascii="Arial" w:hAnsi="Arial" w:cs="Arial"/>
          <w:sz w:val="22"/>
          <w:szCs w:val="22"/>
          <w:lang w:eastAsia="x-none"/>
        </w:rPr>
        <w:t>vzhledem k charakteru a rozsahu řešení.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="00E304C8">
        <w:rPr>
          <w:rFonts w:ascii="Arial" w:hAnsi="Arial" w:cs="Arial"/>
          <w:sz w:val="22"/>
          <w:szCs w:val="22"/>
          <w:lang w:eastAsia="x-none"/>
        </w:rPr>
        <w:t xml:space="preserve">Zadavatel dále uvádí, že </w:t>
      </w:r>
      <w:r w:rsidR="00341091">
        <w:rPr>
          <w:rFonts w:ascii="Arial" w:hAnsi="Arial" w:cs="Arial"/>
          <w:sz w:val="22"/>
          <w:szCs w:val="22"/>
          <w:lang w:eastAsia="x-none"/>
        </w:rPr>
        <w:t>je na uchazeči, jakým způsobem navrhne architekturu řešení tak, aby byla zajištěna požadovaná dostupnost systému.</w:t>
      </w:r>
      <w:r w:rsidR="002954B8">
        <w:rPr>
          <w:rFonts w:ascii="Arial" w:hAnsi="Arial" w:cs="Arial"/>
          <w:sz w:val="22"/>
          <w:szCs w:val="22"/>
          <w:lang w:eastAsia="x-none"/>
        </w:rPr>
        <w:t xml:space="preserve"> Úroveň návrhu architektury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 w:rsidR="002954B8">
        <w:rPr>
          <w:rFonts w:ascii="Arial" w:hAnsi="Arial" w:cs="Arial"/>
          <w:sz w:val="22"/>
          <w:szCs w:val="22"/>
          <w:lang w:eastAsia="x-none"/>
        </w:rPr>
        <w:t xml:space="preserve">a technického návrhu řešení pak je předmětem </w:t>
      </w:r>
      <w:r w:rsidR="00493F12">
        <w:rPr>
          <w:rFonts w:ascii="Arial" w:hAnsi="Arial" w:cs="Arial"/>
          <w:sz w:val="22"/>
          <w:szCs w:val="22"/>
          <w:lang w:eastAsia="x-none"/>
        </w:rPr>
        <w:t xml:space="preserve">hodnocení v rámci </w:t>
      </w:r>
      <w:r w:rsidR="00A24622">
        <w:rPr>
          <w:rFonts w:ascii="Arial" w:hAnsi="Arial" w:cs="Arial"/>
          <w:sz w:val="22"/>
          <w:szCs w:val="22"/>
          <w:lang w:eastAsia="x-none"/>
        </w:rPr>
        <w:t xml:space="preserve">dílčího </w:t>
      </w:r>
      <w:r w:rsidR="002954B8">
        <w:rPr>
          <w:rFonts w:ascii="Arial" w:hAnsi="Arial" w:cs="Arial"/>
          <w:sz w:val="22"/>
          <w:szCs w:val="22"/>
          <w:lang w:eastAsia="x-none"/>
        </w:rPr>
        <w:t xml:space="preserve">hodnotícího </w:t>
      </w:r>
      <w:r w:rsidR="00A24622">
        <w:rPr>
          <w:rFonts w:ascii="Arial" w:hAnsi="Arial" w:cs="Arial"/>
          <w:sz w:val="22"/>
          <w:szCs w:val="22"/>
          <w:lang w:eastAsia="x-none"/>
        </w:rPr>
        <w:t>sub</w:t>
      </w:r>
      <w:r w:rsidR="002954B8">
        <w:rPr>
          <w:rFonts w:ascii="Arial" w:hAnsi="Arial" w:cs="Arial"/>
          <w:sz w:val="22"/>
          <w:szCs w:val="22"/>
          <w:lang w:eastAsia="x-none"/>
        </w:rPr>
        <w:t>kritéria B3.</w:t>
      </w:r>
      <w:r w:rsidR="00341091">
        <w:rPr>
          <w:rFonts w:ascii="Arial" w:hAnsi="Arial" w:cs="Arial"/>
          <w:sz w:val="22"/>
          <w:szCs w:val="22"/>
          <w:lang w:eastAsia="x-none"/>
        </w:rPr>
        <w:t xml:space="preserve"> Zadavatel je toho názoru, že není důvod, aby uvedené požadavky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 w:rsidR="00341091">
        <w:rPr>
          <w:rFonts w:ascii="Arial" w:hAnsi="Arial" w:cs="Arial"/>
          <w:sz w:val="22"/>
          <w:szCs w:val="22"/>
          <w:lang w:eastAsia="x-none"/>
        </w:rPr>
        <w:t xml:space="preserve">na architekturu vedly k neúměrnému navýšení nákladů na realizaci a provoz řešení. </w:t>
      </w:r>
    </w:p>
    <w:p w14:paraId="25A6B71D" w14:textId="77777777" w:rsidR="00456763" w:rsidRDefault="00456763" w:rsidP="002F7353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40379399" w14:textId="5FE9F550" w:rsidR="00456763" w:rsidRPr="005C6522" w:rsidRDefault="00456763" w:rsidP="00456763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D47E8F"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>
        <w:rPr>
          <w:rFonts w:ascii="Arial" w:hAnsi="Arial" w:cs="Arial"/>
          <w:b/>
          <w:sz w:val="22"/>
          <w:szCs w:val="22"/>
          <w:lang w:eastAsia="x-none"/>
        </w:rPr>
        <w:t>90</w:t>
      </w:r>
      <w:r w:rsidRPr="005C6522">
        <w:rPr>
          <w:rFonts w:ascii="Arial" w:hAnsi="Arial" w:cs="Arial"/>
          <w:sz w:val="22"/>
          <w:szCs w:val="22"/>
          <w:lang w:eastAsia="x-none"/>
        </w:rPr>
        <w:t>:</w:t>
      </w:r>
    </w:p>
    <w:p w14:paraId="56275876" w14:textId="160A6FEB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456763">
        <w:rPr>
          <w:rFonts w:ascii="Arial" w:hAnsi="Arial" w:cs="Arial"/>
          <w:sz w:val="22"/>
          <w:szCs w:val="22"/>
        </w:rPr>
        <w:t xml:space="preserve">Lze vzhledem k povaze procesů souvisejících s ESF očekávat výraznější špičky </w:t>
      </w:r>
      <w:r w:rsidR="004C5C5C">
        <w:rPr>
          <w:rFonts w:ascii="Arial" w:hAnsi="Arial" w:cs="Arial"/>
          <w:sz w:val="22"/>
          <w:szCs w:val="22"/>
        </w:rPr>
        <w:br/>
      </w:r>
      <w:r w:rsidRPr="00456763">
        <w:rPr>
          <w:rFonts w:ascii="Arial" w:hAnsi="Arial" w:cs="Arial"/>
          <w:sz w:val="22"/>
          <w:szCs w:val="22"/>
        </w:rPr>
        <w:t xml:space="preserve">v návštěvnosti systému? (např. pokud by procesy vyžadovaly registraci zájemců o dotaci </w:t>
      </w:r>
      <w:r w:rsidR="004C5C5C">
        <w:rPr>
          <w:rFonts w:ascii="Arial" w:hAnsi="Arial" w:cs="Arial"/>
          <w:sz w:val="22"/>
          <w:szCs w:val="22"/>
        </w:rPr>
        <w:br/>
      </w:r>
      <w:r w:rsidRPr="00456763">
        <w:rPr>
          <w:rFonts w:ascii="Arial" w:hAnsi="Arial" w:cs="Arial"/>
          <w:sz w:val="22"/>
          <w:szCs w:val="22"/>
        </w:rPr>
        <w:t>k určitému datu a počet míst by byl omezen)</w:t>
      </w:r>
    </w:p>
    <w:p w14:paraId="6431F50A" w14:textId="3E799816" w:rsidR="00456763" w:rsidRDefault="00456763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F77A66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EA3589C" w14:textId="29744617" w:rsidR="00145469" w:rsidRDefault="005E35B4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K dotazu uchazeče zadavatel uvádí, že j</w:t>
      </w:r>
      <w:r w:rsidR="000B0C90">
        <w:rPr>
          <w:rFonts w:ascii="Arial" w:hAnsi="Arial" w:cs="Arial"/>
          <w:sz w:val="22"/>
          <w:szCs w:val="22"/>
          <w:lang w:eastAsia="x-none"/>
        </w:rPr>
        <w:t xml:space="preserve">e možné očekávat zvýšenou návštěvnost systému IS ESF 2014+ </w:t>
      </w:r>
      <w:r>
        <w:rPr>
          <w:rFonts w:ascii="Arial" w:hAnsi="Arial" w:cs="Arial"/>
          <w:sz w:val="22"/>
          <w:szCs w:val="22"/>
          <w:lang w:eastAsia="x-none"/>
        </w:rPr>
        <w:t xml:space="preserve">jednak </w:t>
      </w:r>
      <w:r w:rsidR="000B0C90">
        <w:rPr>
          <w:rFonts w:ascii="Arial" w:hAnsi="Arial" w:cs="Arial"/>
          <w:sz w:val="22"/>
          <w:szCs w:val="22"/>
          <w:lang w:eastAsia="x-none"/>
        </w:rPr>
        <w:t>před vypršením termínu pro zpracování monitorovacích zpráv</w:t>
      </w:r>
      <w:r>
        <w:rPr>
          <w:rFonts w:ascii="Arial" w:hAnsi="Arial" w:cs="Arial"/>
          <w:sz w:val="22"/>
          <w:szCs w:val="22"/>
          <w:lang w:eastAsia="x-none"/>
        </w:rPr>
        <w:t xml:space="preserve"> a jednak v termínu zahájení projektů, kdy bude zřejmě nutné uživatele do IS ESF 2014+ registrovat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a autorizovat</w:t>
      </w:r>
      <w:r w:rsidR="000B0C90">
        <w:rPr>
          <w:rFonts w:ascii="Arial" w:hAnsi="Arial" w:cs="Arial"/>
          <w:sz w:val="22"/>
          <w:szCs w:val="22"/>
          <w:lang w:eastAsia="x-none"/>
        </w:rPr>
        <w:t>. Monitorovací zprávy pro projekty ESF jsou předkládány vždy jednou za šest měsíců</w:t>
      </w:r>
      <w:r>
        <w:rPr>
          <w:rFonts w:ascii="Arial" w:hAnsi="Arial" w:cs="Arial"/>
          <w:sz w:val="22"/>
          <w:szCs w:val="22"/>
          <w:lang w:eastAsia="x-none"/>
        </w:rPr>
        <w:t xml:space="preserve">, konkrétní termín je pak odvislý od termínu vydání právních aktů (zahájení projektů), přičemž je však možné podat též mimořádné monitorovací zprávy dříve než za šest měsíců. </w:t>
      </w:r>
      <w:r w:rsidR="007D60D5">
        <w:rPr>
          <w:rFonts w:ascii="Arial" w:hAnsi="Arial" w:cs="Arial"/>
          <w:sz w:val="22"/>
          <w:szCs w:val="22"/>
          <w:lang w:eastAsia="x-none"/>
        </w:rPr>
        <w:t>Zadavatel tedy potvrzuje</w:t>
      </w:r>
      <w:r>
        <w:rPr>
          <w:rFonts w:ascii="Arial" w:hAnsi="Arial" w:cs="Arial"/>
          <w:sz w:val="22"/>
          <w:szCs w:val="22"/>
          <w:lang w:eastAsia="x-none"/>
        </w:rPr>
        <w:t xml:space="preserve">, </w:t>
      </w:r>
      <w:r w:rsidR="00E83663">
        <w:rPr>
          <w:rFonts w:ascii="Arial" w:hAnsi="Arial" w:cs="Arial"/>
          <w:sz w:val="22"/>
          <w:szCs w:val="22"/>
          <w:lang w:eastAsia="x-none"/>
        </w:rPr>
        <w:t xml:space="preserve">že </w:t>
      </w:r>
      <w:r>
        <w:rPr>
          <w:rFonts w:ascii="Arial" w:hAnsi="Arial" w:cs="Arial"/>
          <w:sz w:val="22"/>
          <w:szCs w:val="22"/>
          <w:lang w:eastAsia="x-none"/>
        </w:rPr>
        <w:t xml:space="preserve">výraznější špičky lze očekávat, avšak konkrétní vymezení nelze </w:t>
      </w:r>
      <w:r>
        <w:rPr>
          <w:rFonts w:ascii="Arial" w:hAnsi="Arial" w:cs="Arial"/>
          <w:sz w:val="22"/>
          <w:szCs w:val="22"/>
          <w:lang w:eastAsia="x-none"/>
        </w:rPr>
        <w:lastRenderedPageBreak/>
        <w:t xml:space="preserve">v tuto chvíli pro období 2014+ předvídat, neboť se obvykle odvíjí až od termínu vyhlášených výzev a následně termínu zahajování projektů. </w:t>
      </w:r>
    </w:p>
    <w:p w14:paraId="6B925B25" w14:textId="6CB1B147" w:rsidR="00456763" w:rsidRDefault="00145469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Odhad lze nicméně učinit z následujících počtů a grafů. Jedná se údaje o počtu předložených monitorovacích zpráv v období od </w:t>
      </w:r>
      <w:r w:rsidRPr="00145469">
        <w:rPr>
          <w:rFonts w:ascii="Arial" w:hAnsi="Arial" w:cs="Arial"/>
          <w:sz w:val="22"/>
          <w:szCs w:val="22"/>
          <w:lang w:eastAsia="x-none"/>
        </w:rPr>
        <w:t>1. 1. 2010 do 31. 12. 2014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Pr="00145469">
        <w:rPr>
          <w:rFonts w:ascii="Arial" w:hAnsi="Arial" w:cs="Arial"/>
          <w:sz w:val="22"/>
          <w:szCs w:val="22"/>
          <w:lang w:eastAsia="x-none"/>
        </w:rPr>
        <w:t xml:space="preserve">V prvním sloupci je měsíc, v druhém součet MZ, které přišly v daném měsíci roku </w:t>
      </w:r>
      <w:r>
        <w:rPr>
          <w:rFonts w:ascii="Arial" w:hAnsi="Arial" w:cs="Arial"/>
          <w:sz w:val="22"/>
          <w:szCs w:val="22"/>
          <w:lang w:eastAsia="x-none"/>
        </w:rPr>
        <w:t>20</w:t>
      </w:r>
      <w:r w:rsidRPr="00145469">
        <w:rPr>
          <w:rFonts w:ascii="Arial" w:hAnsi="Arial" w:cs="Arial"/>
          <w:sz w:val="22"/>
          <w:szCs w:val="22"/>
          <w:lang w:eastAsia="x-none"/>
        </w:rPr>
        <w:t xml:space="preserve">10 až </w:t>
      </w:r>
      <w:r>
        <w:rPr>
          <w:rFonts w:ascii="Arial" w:hAnsi="Arial" w:cs="Arial"/>
          <w:sz w:val="22"/>
          <w:szCs w:val="22"/>
          <w:lang w:eastAsia="x-none"/>
        </w:rPr>
        <w:t>20</w:t>
      </w:r>
      <w:r w:rsidRPr="00145469">
        <w:rPr>
          <w:rFonts w:ascii="Arial" w:hAnsi="Arial" w:cs="Arial"/>
          <w:sz w:val="22"/>
          <w:szCs w:val="22"/>
          <w:lang w:eastAsia="x-none"/>
        </w:rPr>
        <w:t xml:space="preserve">14. Níže </w:t>
      </w:r>
      <w:r w:rsidR="004C5C5C">
        <w:rPr>
          <w:rFonts w:ascii="Arial" w:hAnsi="Arial" w:cs="Arial"/>
          <w:sz w:val="22"/>
          <w:szCs w:val="22"/>
          <w:lang w:eastAsia="x-none"/>
        </w:rPr>
        <w:br/>
      </w:r>
      <w:r w:rsidRPr="00145469">
        <w:rPr>
          <w:rFonts w:ascii="Arial" w:hAnsi="Arial" w:cs="Arial"/>
          <w:sz w:val="22"/>
          <w:szCs w:val="22"/>
          <w:lang w:eastAsia="x-none"/>
        </w:rPr>
        <w:t>v grafech jsou průběhy během jednotlivých let.</w:t>
      </w:r>
    </w:p>
    <w:p w14:paraId="31A597E9" w14:textId="77777777" w:rsidR="00145469" w:rsidRDefault="00145469" w:rsidP="00145469"/>
    <w:tbl>
      <w:tblPr>
        <w:tblW w:w="6600" w:type="dxa"/>
        <w:tblInd w:w="-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4940"/>
      </w:tblGrid>
      <w:tr w:rsidR="00145469" w14:paraId="6F512BFC" w14:textId="77777777" w:rsidTr="00145469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C1A315" w14:textId="77777777" w:rsidR="00145469" w:rsidRDefault="00145469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Popisky řádků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95B3D7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9A2382" w14:textId="77777777" w:rsidR="00145469" w:rsidRDefault="00145469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</w:rPr>
              <w:t>Počet z skutečné</w:t>
            </w:r>
            <w:proofErr w:type="gramEnd"/>
            <w:r>
              <w:rPr>
                <w:b/>
                <w:bCs/>
                <w:color w:val="000000"/>
              </w:rPr>
              <w:t xml:space="preserve"> datum odevzdání MZ</w:t>
            </w:r>
          </w:p>
        </w:tc>
      </w:tr>
      <w:tr w:rsidR="00145469" w14:paraId="7D798012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1142D5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3DA896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563</w:t>
            </w:r>
          </w:p>
        </w:tc>
      </w:tr>
      <w:tr w:rsidR="00145469" w14:paraId="54F1C1DA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9331CDD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E71A88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558</w:t>
            </w:r>
          </w:p>
        </w:tc>
      </w:tr>
      <w:tr w:rsidR="00145469" w14:paraId="74B2D15F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9A69824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279603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653</w:t>
            </w:r>
          </w:p>
        </w:tc>
      </w:tr>
      <w:tr w:rsidR="00145469" w14:paraId="520213B0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171304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412A57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590</w:t>
            </w:r>
          </w:p>
        </w:tc>
      </w:tr>
      <w:tr w:rsidR="00145469" w14:paraId="44C8C6C5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BA16BD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07154B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537</w:t>
            </w:r>
          </w:p>
        </w:tc>
      </w:tr>
      <w:tr w:rsidR="00145469" w14:paraId="46796BC6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57E5C50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A866B8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521</w:t>
            </w:r>
          </w:p>
        </w:tc>
      </w:tr>
      <w:tr w:rsidR="00145469" w14:paraId="605000AA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2856FC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9DC30A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645</w:t>
            </w:r>
          </w:p>
        </w:tc>
      </w:tr>
      <w:tr w:rsidR="00145469" w14:paraId="4527D4AC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367623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5F0AA2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481</w:t>
            </w:r>
          </w:p>
        </w:tc>
      </w:tr>
      <w:tr w:rsidR="00145469" w14:paraId="1B7C81B9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16B2F0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DB5C9C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365</w:t>
            </w:r>
          </w:p>
        </w:tc>
      </w:tr>
      <w:tr w:rsidR="00145469" w14:paraId="504E009A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8960C4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51E86A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483</w:t>
            </w:r>
          </w:p>
        </w:tc>
      </w:tr>
      <w:tr w:rsidR="00145469" w14:paraId="778C2F32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79E278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DF1FD38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509</w:t>
            </w:r>
          </w:p>
        </w:tc>
      </w:tr>
      <w:tr w:rsidR="00145469" w14:paraId="67B8F0DD" w14:textId="77777777" w:rsidTr="00145469">
        <w:trPr>
          <w:trHeight w:val="300"/>
        </w:trPr>
        <w:tc>
          <w:tcPr>
            <w:tcW w:w="16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FB9A0F" w14:textId="77777777" w:rsidR="00145469" w:rsidRDefault="00145469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5205E4" w14:textId="77777777" w:rsidR="00145469" w:rsidRDefault="00145469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642</w:t>
            </w:r>
          </w:p>
        </w:tc>
      </w:tr>
      <w:tr w:rsidR="00145469" w14:paraId="10DDB98C" w14:textId="77777777" w:rsidTr="00145469">
        <w:trPr>
          <w:trHeight w:val="300"/>
        </w:trPr>
        <w:tc>
          <w:tcPr>
            <w:tcW w:w="1660" w:type="dxa"/>
            <w:tcBorders>
              <w:top w:val="single" w:sz="8" w:space="0" w:color="95B3D7"/>
              <w:left w:val="nil"/>
              <w:bottom w:val="nil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FD43D9" w14:textId="77777777" w:rsidR="00145469" w:rsidRDefault="00145469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Celkový součet</w:t>
            </w:r>
          </w:p>
        </w:tc>
        <w:tc>
          <w:tcPr>
            <w:tcW w:w="4940" w:type="dxa"/>
            <w:tcBorders>
              <w:top w:val="single" w:sz="8" w:space="0" w:color="95B3D7"/>
              <w:left w:val="nil"/>
              <w:bottom w:val="nil"/>
              <w:right w:val="nil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20B572" w14:textId="77777777" w:rsidR="00145469" w:rsidRDefault="00145469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6547</w:t>
            </w:r>
          </w:p>
        </w:tc>
      </w:tr>
    </w:tbl>
    <w:p w14:paraId="2523EF40" w14:textId="77777777" w:rsidR="00145469" w:rsidRDefault="00145469" w:rsidP="00145469">
      <w:pPr>
        <w:rPr>
          <w:rFonts w:ascii="Calibri" w:eastAsiaTheme="minorHAnsi" w:hAnsi="Calibri"/>
          <w:sz w:val="22"/>
          <w:szCs w:val="22"/>
          <w:lang w:eastAsia="en-US"/>
        </w:rPr>
      </w:pPr>
    </w:p>
    <w:p w14:paraId="6E9E3759" w14:textId="77777777" w:rsidR="00145469" w:rsidRDefault="00145469" w:rsidP="00145469">
      <w:r>
        <w:t>Celkem</w:t>
      </w:r>
    </w:p>
    <w:p w14:paraId="46BE4E03" w14:textId="289F650F" w:rsidR="00145469" w:rsidRDefault="00145469" w:rsidP="00145469">
      <w:r>
        <w:rPr>
          <w:noProof/>
        </w:rPr>
        <w:drawing>
          <wp:inline distT="0" distB="0" distL="0" distR="0" wp14:anchorId="34131673" wp14:editId="7E3A9627">
            <wp:extent cx="4580255" cy="2751455"/>
            <wp:effectExtent l="0" t="0" r="0" b="0"/>
            <wp:docPr id="6" name="Obrázek 6" descr="cid:image007.png@01CF4503.EC595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 1" descr="cid:image007.png@01CF4503.EC59569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255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3AC86" w14:textId="77777777" w:rsidR="00145469" w:rsidRDefault="00145469" w:rsidP="00145469"/>
    <w:p w14:paraId="26BE4595" w14:textId="77777777" w:rsidR="00145469" w:rsidRPr="00503561" w:rsidRDefault="00145469" w:rsidP="0050356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03561">
        <w:rPr>
          <w:rFonts w:ascii="Arial" w:hAnsi="Arial" w:cs="Arial"/>
          <w:sz w:val="22"/>
          <w:szCs w:val="22"/>
          <w:lang w:eastAsia="x-none"/>
        </w:rPr>
        <w:t>2010</w:t>
      </w:r>
    </w:p>
    <w:p w14:paraId="6C8021BE" w14:textId="7B103F40" w:rsidR="00145469" w:rsidRDefault="00145469" w:rsidP="00145469">
      <w:r>
        <w:rPr>
          <w:noProof/>
        </w:rPr>
        <w:lastRenderedPageBreak/>
        <w:drawing>
          <wp:inline distT="0" distB="0" distL="0" distR="0" wp14:anchorId="5B511BC8" wp14:editId="2960A114">
            <wp:extent cx="4707255" cy="2854325"/>
            <wp:effectExtent l="0" t="0" r="0" b="3175"/>
            <wp:docPr id="5" name="Obrázek 5" descr="cid:image003.png@01CF4503.749F9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id:image003.png@01CF4503.749F9E7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725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B7435" w14:textId="77777777" w:rsidR="00145469" w:rsidRDefault="00145469" w:rsidP="00145469"/>
    <w:p w14:paraId="08C5C43D" w14:textId="77777777" w:rsidR="00145469" w:rsidRPr="00503561" w:rsidRDefault="00145469" w:rsidP="0050356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03561">
        <w:rPr>
          <w:rFonts w:ascii="Arial" w:hAnsi="Arial" w:cs="Arial"/>
          <w:sz w:val="22"/>
          <w:szCs w:val="22"/>
          <w:lang w:eastAsia="x-none"/>
        </w:rPr>
        <w:t>2011</w:t>
      </w:r>
    </w:p>
    <w:p w14:paraId="2606075E" w14:textId="7A28BD9A" w:rsidR="00145469" w:rsidRDefault="00145469" w:rsidP="00145469">
      <w:r>
        <w:rPr>
          <w:noProof/>
        </w:rPr>
        <w:drawing>
          <wp:inline distT="0" distB="0" distL="0" distR="0" wp14:anchorId="51A3B7F9" wp14:editId="46C12156">
            <wp:extent cx="4770755" cy="2941955"/>
            <wp:effectExtent l="0" t="0" r="0" b="0"/>
            <wp:docPr id="4" name="Obrázek 4" descr="cid:image004.png@01CF4503.749F9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cid:image004.png@01CF4503.749F9E7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55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56542" w14:textId="77777777" w:rsidR="00145469" w:rsidRDefault="00145469" w:rsidP="00145469"/>
    <w:p w14:paraId="771A7315" w14:textId="77777777" w:rsidR="00145469" w:rsidRPr="00503561" w:rsidRDefault="00145469" w:rsidP="0050356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03561">
        <w:rPr>
          <w:rFonts w:ascii="Arial" w:hAnsi="Arial" w:cs="Arial"/>
          <w:sz w:val="22"/>
          <w:szCs w:val="22"/>
          <w:lang w:eastAsia="x-none"/>
        </w:rPr>
        <w:t>2012</w:t>
      </w:r>
    </w:p>
    <w:p w14:paraId="4CBDF23A" w14:textId="38D864FD" w:rsidR="00145469" w:rsidRDefault="00145469" w:rsidP="00145469">
      <w:r>
        <w:rPr>
          <w:noProof/>
        </w:rPr>
        <w:lastRenderedPageBreak/>
        <w:drawing>
          <wp:inline distT="0" distB="0" distL="0" distR="0" wp14:anchorId="10D5B004" wp14:editId="225BDA74">
            <wp:extent cx="4667250" cy="2830830"/>
            <wp:effectExtent l="0" t="0" r="0" b="7620"/>
            <wp:docPr id="2" name="Obrázek 2" descr="cid:image005.png@01CF4503.749F9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cid:image005.png@01CF4503.749F9E70"/>
                    <pic:cNvPicPr>
                      <a:picLocks noChangeAspect="1" noChangeArrowheads="1"/>
                    </pic:cNvPicPr>
                  </pic:nvPicPr>
                  <pic:blipFill>
                    <a:blip r:embed="rId19"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26FD1" w14:textId="77777777" w:rsidR="00145469" w:rsidRDefault="00145469" w:rsidP="00145469"/>
    <w:p w14:paraId="2E88691D" w14:textId="77777777" w:rsidR="00145469" w:rsidRPr="00503561" w:rsidRDefault="00145469" w:rsidP="0050356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03561">
        <w:rPr>
          <w:rFonts w:ascii="Arial" w:hAnsi="Arial" w:cs="Arial"/>
          <w:sz w:val="22"/>
          <w:szCs w:val="22"/>
          <w:lang w:eastAsia="x-none"/>
        </w:rPr>
        <w:t>2013</w:t>
      </w:r>
    </w:p>
    <w:p w14:paraId="42353C40" w14:textId="378DBCC0" w:rsidR="00145469" w:rsidRDefault="00145469" w:rsidP="00145469">
      <w:r>
        <w:rPr>
          <w:noProof/>
        </w:rPr>
        <w:drawing>
          <wp:inline distT="0" distB="0" distL="0" distR="0" wp14:anchorId="70CE33C9" wp14:editId="6097B87F">
            <wp:extent cx="4667250" cy="2838450"/>
            <wp:effectExtent l="0" t="0" r="0" b="0"/>
            <wp:docPr id="1" name="Obrázek 1" descr="cid:image006.png@01CF4503.749F9E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 descr="cid:image006.png@01CF4503.749F9E7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4F174" w14:textId="77777777" w:rsidR="00145469" w:rsidRDefault="00145469" w:rsidP="00456763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F8F0228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91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7C527F8F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Můžete zaslat popis procesů souvisejících s projekty podporovanými z ESF? Zejména popis procesů, které se dotýkají poptávaného informačního systému.</w:t>
      </w:r>
    </w:p>
    <w:p w14:paraId="03F498A6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990C9FB" w14:textId="77EAD139" w:rsidR="00145469" w:rsidRDefault="00145469" w:rsidP="00145469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k dotazu uchazeče uvádí, že ucelený a </w:t>
      </w:r>
      <w:proofErr w:type="spellStart"/>
      <w:r>
        <w:rPr>
          <w:rFonts w:ascii="Arial" w:hAnsi="Arial" w:cs="Arial"/>
          <w:sz w:val="22"/>
          <w:szCs w:val="22"/>
        </w:rPr>
        <w:t>finalizovaný</w:t>
      </w:r>
      <w:proofErr w:type="spellEnd"/>
      <w:r>
        <w:rPr>
          <w:rFonts w:ascii="Arial" w:hAnsi="Arial" w:cs="Arial"/>
          <w:sz w:val="22"/>
          <w:szCs w:val="22"/>
        </w:rPr>
        <w:t xml:space="preserve"> popis procesů souvisejících s projekty podporovanými z ESF v současné době nemá k dispozici. Takový popis procesů musí obecně vycházet z metodických dokumentů připravovaných v gesci Ministerstva </w:t>
      </w:r>
      <w:r w:rsidR="004C5C5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pro místní rozvoj („</w:t>
      </w:r>
      <w:r>
        <w:rPr>
          <w:rFonts w:ascii="Arial" w:hAnsi="Arial" w:cs="Arial"/>
          <w:b/>
          <w:sz w:val="22"/>
          <w:szCs w:val="22"/>
        </w:rPr>
        <w:t>MMR</w:t>
      </w:r>
      <w:r>
        <w:rPr>
          <w:rFonts w:ascii="Arial" w:hAnsi="Arial" w:cs="Arial"/>
          <w:sz w:val="22"/>
          <w:szCs w:val="22"/>
        </w:rPr>
        <w:t xml:space="preserve">“), jejichž aktuální verze jsou dostupné na adrese </w:t>
      </w:r>
      <w:hyperlink r:id="rId23" w:history="1">
        <w:r>
          <w:rPr>
            <w:rStyle w:val="Hypertextovodkaz"/>
            <w:rFonts w:ascii="Arial" w:hAnsi="Arial" w:cs="Arial"/>
            <w:sz w:val="22"/>
            <w:szCs w:val="22"/>
          </w:rPr>
          <w:t>http://www.strukturalni-fondy.cz/cs/Fondy-EU/Kohezni-politika-EU/Metodicke-pokyny</w:t>
        </w:r>
      </w:hyperlink>
      <w:r>
        <w:rPr>
          <w:rFonts w:ascii="Arial" w:hAnsi="Arial" w:cs="Arial"/>
          <w:sz w:val="22"/>
          <w:szCs w:val="22"/>
        </w:rPr>
        <w:t>. Procesů monitoringu projektů podporovaných z ESF se týkají zejména:</w:t>
      </w:r>
    </w:p>
    <w:p w14:paraId="22A18C6F" w14:textId="77777777" w:rsidR="00145469" w:rsidRDefault="00145469" w:rsidP="00145469">
      <w:pPr>
        <w:pStyle w:val="Odstavecseseznamem"/>
        <w:numPr>
          <w:ilvl w:val="0"/>
          <w:numId w:val="50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Metodický pokyn zásady tvorby a používání indikátorů v programovém období 2014–2020</w:t>
      </w:r>
    </w:p>
    <w:p w14:paraId="2A954788" w14:textId="77777777" w:rsidR="00145469" w:rsidRDefault="00145469" w:rsidP="00145469">
      <w:pPr>
        <w:pStyle w:val="Odstavecseseznamem"/>
        <w:numPr>
          <w:ilvl w:val="0"/>
          <w:numId w:val="50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Metodický pokyn procesů řízení a monitorování ESI fondů v MS2014+_1.část</w:t>
      </w:r>
    </w:p>
    <w:p w14:paraId="3BE5F1A4" w14:textId="77777777" w:rsidR="00145469" w:rsidRDefault="00145469" w:rsidP="00145469">
      <w:pPr>
        <w:pStyle w:val="Odstavecseseznamem"/>
        <w:numPr>
          <w:ilvl w:val="0"/>
          <w:numId w:val="50"/>
        </w:num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Metodický pokyn pro publicitu a komunikaci ESI fondů v programovém období 2014-2020</w:t>
      </w:r>
    </w:p>
    <w:p w14:paraId="7F73F41F" w14:textId="4A062C75" w:rsidR="00145469" w:rsidRDefault="00145469" w:rsidP="00145469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upozorňuje, že procesy monitorování na úrovni projektů by měly být obsahem 2. části Metodického pokynu procesů řízení a monitorování ESI fondů, jejíž příprava aktuálně probíhá a finální verze není v současnosti známa. Vybraný poskytovatel systému tak vstoupí do tohoto procesu přípravy a finalizace metodik, přičemž v rámci role systémového integrátora se mj. očekává aktivní role v tomto procesu s poukazem na požadavek Id I005</w:t>
      </w:r>
      <w:r w:rsidR="006406E1">
        <w:rPr>
          <w:rFonts w:ascii="Arial" w:hAnsi="Arial" w:cs="Arial"/>
          <w:sz w:val="22"/>
          <w:szCs w:val="22"/>
        </w:rPr>
        <w:t xml:space="preserve"> </w:t>
      </w:r>
      <w:r w:rsidR="006406E1" w:rsidRPr="006406E1">
        <w:rPr>
          <w:rFonts w:ascii="Arial" w:hAnsi="Arial" w:cs="Arial"/>
          <w:sz w:val="22"/>
          <w:szCs w:val="22"/>
        </w:rPr>
        <w:t>Přílohy č. 6 zadávací dokumentace</w:t>
      </w:r>
      <w:r>
        <w:rPr>
          <w:rFonts w:ascii="Arial" w:hAnsi="Arial" w:cs="Arial"/>
          <w:sz w:val="22"/>
          <w:szCs w:val="22"/>
        </w:rPr>
        <w:t>.</w:t>
      </w:r>
    </w:p>
    <w:p w14:paraId="1E693769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57F6B38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92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44412666" w14:textId="06696F39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Jaké třídy uživatelů budou oprávněni využívat služeb </w:t>
      </w:r>
      <w:proofErr w:type="spellStart"/>
      <w:r>
        <w:rPr>
          <w:rFonts w:ascii="Arial" w:hAnsi="Arial" w:cs="Arial"/>
          <w:sz w:val="22"/>
          <w:szCs w:val="22"/>
        </w:rPr>
        <w:t>ServiceDesku</w:t>
      </w:r>
      <w:proofErr w:type="spellEnd"/>
      <w:r>
        <w:rPr>
          <w:rFonts w:ascii="Arial" w:hAnsi="Arial" w:cs="Arial"/>
          <w:sz w:val="22"/>
          <w:szCs w:val="22"/>
        </w:rPr>
        <w:t xml:space="preserve">, který je zahrnut </w:t>
      </w:r>
      <w:r w:rsidR="004C5C5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rozsahu Podpora IS? Dle Smlouvy odst. 6.9 by mělo jít pouze o pracovníky Objednatele. </w:t>
      </w:r>
    </w:p>
    <w:p w14:paraId="126AF5D8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2C660A54" w14:textId="177F8019" w:rsidR="00145469" w:rsidRDefault="00145469" w:rsidP="00145469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Zadavatel k dotazu uchazeče uvádí, že oprávnění využívat služeb </w:t>
      </w:r>
      <w:proofErr w:type="spellStart"/>
      <w:r>
        <w:rPr>
          <w:rFonts w:ascii="Arial" w:hAnsi="Arial" w:cs="Arial"/>
          <w:sz w:val="22"/>
          <w:szCs w:val="22"/>
        </w:rPr>
        <w:t>ServiceDesku</w:t>
      </w:r>
      <w:proofErr w:type="spellEnd"/>
      <w:r>
        <w:rPr>
          <w:rFonts w:ascii="Arial" w:hAnsi="Arial" w:cs="Arial"/>
          <w:sz w:val="22"/>
          <w:szCs w:val="22"/>
        </w:rPr>
        <w:t xml:space="preserve"> se vztahuje </w:t>
      </w:r>
      <w:r w:rsidR="00503561">
        <w:rPr>
          <w:rFonts w:ascii="Arial" w:hAnsi="Arial" w:cs="Arial"/>
          <w:sz w:val="22"/>
          <w:szCs w:val="22"/>
        </w:rPr>
        <w:t>zejména</w:t>
      </w:r>
      <w:r>
        <w:rPr>
          <w:rFonts w:ascii="Arial" w:hAnsi="Arial" w:cs="Arial"/>
          <w:sz w:val="22"/>
          <w:szCs w:val="22"/>
        </w:rPr>
        <w:t xml:space="preserve"> na oprávněné osoby ve věcech technických uvedené v příloze </w:t>
      </w:r>
      <w:proofErr w:type="gramStart"/>
      <w:r>
        <w:rPr>
          <w:rFonts w:ascii="Arial" w:hAnsi="Arial" w:cs="Arial"/>
          <w:sz w:val="22"/>
          <w:szCs w:val="22"/>
        </w:rPr>
        <w:t>č. 4 Závazného</w:t>
      </w:r>
      <w:proofErr w:type="gramEnd"/>
      <w:r>
        <w:rPr>
          <w:rFonts w:ascii="Arial" w:hAnsi="Arial" w:cs="Arial"/>
          <w:sz w:val="22"/>
          <w:szCs w:val="22"/>
        </w:rPr>
        <w:t xml:space="preserve"> vzoru smlouvy.</w:t>
      </w:r>
    </w:p>
    <w:p w14:paraId="61A70E75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60E28574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93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6D26A302" w14:textId="15DC8665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Očekává se, že bude na veřejně přístupných stránkách kontakt na </w:t>
      </w:r>
      <w:proofErr w:type="spellStart"/>
      <w:r>
        <w:rPr>
          <w:rFonts w:ascii="Arial" w:hAnsi="Arial" w:cs="Arial"/>
          <w:sz w:val="22"/>
          <w:szCs w:val="22"/>
        </w:rPr>
        <w:t>ServiceDesk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4C5C5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pro "běžného internetového uživatele"?</w:t>
      </w:r>
    </w:p>
    <w:p w14:paraId="7E4864D5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A5128CE" w14:textId="0AD8FE4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dotazu uchazeče uvádí, že kontakt na </w:t>
      </w:r>
      <w:proofErr w:type="spellStart"/>
      <w:r>
        <w:rPr>
          <w:rFonts w:ascii="Arial" w:hAnsi="Arial" w:cs="Arial"/>
          <w:sz w:val="22"/>
          <w:szCs w:val="22"/>
          <w:lang w:eastAsia="x-none"/>
        </w:rPr>
        <w:t>ServiceDesk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 pro „</w:t>
      </w:r>
      <w:r w:rsidRPr="006179EF">
        <w:rPr>
          <w:rFonts w:ascii="Arial" w:hAnsi="Arial" w:cs="Arial"/>
          <w:i/>
          <w:sz w:val="22"/>
          <w:szCs w:val="22"/>
          <w:lang w:eastAsia="x-none"/>
        </w:rPr>
        <w:t>běžného internetového uživatele</w:t>
      </w:r>
      <w:r>
        <w:rPr>
          <w:rFonts w:ascii="Arial" w:hAnsi="Arial" w:cs="Arial"/>
          <w:sz w:val="22"/>
          <w:szCs w:val="22"/>
          <w:lang w:eastAsia="x-none"/>
        </w:rPr>
        <w:t xml:space="preserve">“ na veřejně přístupných stránkách se neočekává. </w:t>
      </w:r>
      <w:proofErr w:type="spellStart"/>
      <w:r>
        <w:rPr>
          <w:rFonts w:ascii="Arial" w:hAnsi="Arial" w:cs="Arial"/>
          <w:sz w:val="22"/>
          <w:szCs w:val="22"/>
          <w:lang w:eastAsia="x-none"/>
        </w:rPr>
        <w:t>ServiceDesk</w:t>
      </w:r>
      <w:proofErr w:type="spellEnd"/>
      <w:r>
        <w:rPr>
          <w:rFonts w:ascii="Arial" w:hAnsi="Arial" w:cs="Arial"/>
          <w:sz w:val="22"/>
          <w:szCs w:val="22"/>
          <w:lang w:eastAsia="x-none"/>
        </w:rPr>
        <w:t xml:space="preserve"> bude komunikovat s oprávněnými osobami </w:t>
      </w:r>
      <w:r w:rsidR="00503561">
        <w:rPr>
          <w:rFonts w:ascii="Arial" w:hAnsi="Arial" w:cs="Arial"/>
          <w:sz w:val="22"/>
          <w:szCs w:val="22"/>
          <w:lang w:eastAsia="x-none"/>
        </w:rPr>
        <w:t>Objednatele</w:t>
      </w:r>
      <w:r>
        <w:rPr>
          <w:rFonts w:ascii="Arial" w:hAnsi="Arial" w:cs="Arial"/>
          <w:sz w:val="22"/>
          <w:szCs w:val="22"/>
          <w:lang w:eastAsia="x-none"/>
        </w:rPr>
        <w:t>, na které však již bude kontakt na veřejně přístupných stránkách uveden jakožto na kontaktní osoby administrátora (správce) systému.</w:t>
      </w:r>
    </w:p>
    <w:p w14:paraId="56973031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01209AFA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AE60DC2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94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46AABA5F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Předpokládáme, že v případě implementace dalšího systému do Portálu (např. třetí stranou) bude s touto stranou uzavřena smlouva o podpoře tohoto systému. Jaká bude pak role </w:t>
      </w:r>
      <w:proofErr w:type="spellStart"/>
      <w:r>
        <w:rPr>
          <w:rFonts w:ascii="Arial" w:hAnsi="Arial" w:cs="Arial"/>
          <w:sz w:val="22"/>
          <w:szCs w:val="22"/>
        </w:rPr>
        <w:t>ServiceDesku</w:t>
      </w:r>
      <w:proofErr w:type="spellEnd"/>
      <w:r>
        <w:rPr>
          <w:rFonts w:ascii="Arial" w:hAnsi="Arial" w:cs="Arial"/>
          <w:sz w:val="22"/>
          <w:szCs w:val="22"/>
        </w:rPr>
        <w:t xml:space="preserve"> ve vztahu k tomuto systému? </w:t>
      </w:r>
    </w:p>
    <w:p w14:paraId="1EBCAD39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74E2DF6" w14:textId="419FAE0E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k dotazu uchazeče uvádí, že koordinátorem a zprostředkovatelem vztahů s třetími stranami budou primárně oprávněné osoby Objednatel</w:t>
      </w:r>
      <w:r w:rsidR="006406E1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ve spolupráci s požadovanou rolí systémového integrátora. Tyto oprávněné osoby Objednatele budou komunikovat s kontaktními osobami na straně </w:t>
      </w:r>
      <w:proofErr w:type="spellStart"/>
      <w:r>
        <w:rPr>
          <w:rFonts w:ascii="Arial" w:hAnsi="Arial" w:cs="Arial"/>
          <w:sz w:val="22"/>
          <w:szCs w:val="22"/>
        </w:rPr>
        <w:t>ServiceDesku</w:t>
      </w:r>
      <w:proofErr w:type="spellEnd"/>
      <w:r>
        <w:rPr>
          <w:rFonts w:ascii="Arial" w:hAnsi="Arial" w:cs="Arial"/>
          <w:sz w:val="22"/>
          <w:szCs w:val="22"/>
        </w:rPr>
        <w:t>, tzn.</w:t>
      </w:r>
      <w:r w:rsidR="006406E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že jednou z kontaktních osob na straně </w:t>
      </w:r>
      <w:proofErr w:type="spellStart"/>
      <w:r>
        <w:rPr>
          <w:rFonts w:ascii="Arial" w:hAnsi="Arial" w:cs="Arial"/>
          <w:sz w:val="22"/>
          <w:szCs w:val="22"/>
        </w:rPr>
        <w:lastRenderedPageBreak/>
        <w:t>ServiceDesku</w:t>
      </w:r>
      <w:proofErr w:type="spellEnd"/>
      <w:r>
        <w:rPr>
          <w:rFonts w:ascii="Arial" w:hAnsi="Arial" w:cs="Arial"/>
          <w:sz w:val="22"/>
          <w:szCs w:val="22"/>
        </w:rPr>
        <w:t xml:space="preserve"> budou též osoby oprávněné ve vztahu k roli systémového integrátora. Třetí strany nebudou mít do </w:t>
      </w:r>
      <w:proofErr w:type="spellStart"/>
      <w:r>
        <w:rPr>
          <w:rFonts w:ascii="Arial" w:hAnsi="Arial" w:cs="Arial"/>
          <w:sz w:val="22"/>
          <w:szCs w:val="22"/>
        </w:rPr>
        <w:t>ServiceDesku</w:t>
      </w:r>
      <w:proofErr w:type="spellEnd"/>
      <w:r>
        <w:rPr>
          <w:rFonts w:ascii="Arial" w:hAnsi="Arial" w:cs="Arial"/>
          <w:sz w:val="22"/>
          <w:szCs w:val="22"/>
        </w:rPr>
        <w:t xml:space="preserve"> přímý přístup. Předpokládá se však zřízení </w:t>
      </w:r>
      <w:proofErr w:type="spellStart"/>
      <w:r>
        <w:rPr>
          <w:rFonts w:ascii="Arial" w:hAnsi="Arial" w:cs="Arial"/>
          <w:sz w:val="22"/>
          <w:szCs w:val="22"/>
        </w:rPr>
        <w:t>ServiceDesk</w:t>
      </w:r>
      <w:proofErr w:type="spellEnd"/>
      <w:r>
        <w:rPr>
          <w:rFonts w:ascii="Arial" w:hAnsi="Arial" w:cs="Arial"/>
          <w:sz w:val="22"/>
          <w:szCs w:val="22"/>
        </w:rPr>
        <w:t xml:space="preserve"> služeb rovněž pro vztah s třetími stranami v případě implementace dalších systémů do portálového </w:t>
      </w:r>
      <w:proofErr w:type="spellStart"/>
      <w:r>
        <w:rPr>
          <w:rFonts w:ascii="Arial" w:hAnsi="Arial" w:cs="Arial"/>
          <w:sz w:val="22"/>
          <w:szCs w:val="22"/>
        </w:rPr>
        <w:t>frameworku</w:t>
      </w:r>
      <w:proofErr w:type="spellEnd"/>
      <w:r>
        <w:rPr>
          <w:rFonts w:ascii="Arial" w:hAnsi="Arial" w:cs="Arial"/>
          <w:sz w:val="22"/>
          <w:szCs w:val="22"/>
        </w:rPr>
        <w:t>, a to ze strany případných poskytovatelů dalších systémů.</w:t>
      </w:r>
    </w:p>
    <w:p w14:paraId="1D46106F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23F1328A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95</w:t>
      </w:r>
      <w:r>
        <w:rPr>
          <w:rFonts w:ascii="Arial" w:hAnsi="Arial" w:cs="Arial"/>
          <w:sz w:val="22"/>
          <w:szCs w:val="22"/>
          <w:lang w:eastAsia="x-none"/>
        </w:rPr>
        <w:t>:</w:t>
      </w:r>
    </w:p>
    <w:p w14:paraId="772CA528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případě implementace dalších systémů na </w:t>
      </w:r>
      <w:proofErr w:type="spellStart"/>
      <w:r>
        <w:rPr>
          <w:rFonts w:ascii="Arial" w:hAnsi="Arial" w:cs="Arial"/>
          <w:sz w:val="22"/>
          <w:szCs w:val="22"/>
        </w:rPr>
        <w:t>frameworku</w:t>
      </w:r>
      <w:proofErr w:type="spellEnd"/>
      <w:r>
        <w:rPr>
          <w:rFonts w:ascii="Arial" w:hAnsi="Arial" w:cs="Arial"/>
          <w:sz w:val="22"/>
          <w:szCs w:val="22"/>
        </w:rPr>
        <w:t xml:space="preserve"> - je v rozsahu aktuálně poptávaného díla příjem požadavků souvisejících i s těmito dalšími portály resp. monitoring jejich chodu (např. monitoring klíčových obrazovek těchto systémů atd.)? </w:t>
      </w:r>
    </w:p>
    <w:p w14:paraId="06C8E53F" w14:textId="77777777" w:rsidR="00145469" w:rsidRDefault="00145469" w:rsidP="00145469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640F6326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3D5B8AA9" w14:textId="481C9C5E" w:rsidR="00145469" w:rsidRPr="00503561" w:rsidRDefault="00145469" w:rsidP="00503561">
      <w:pPr>
        <w:spacing w:before="120" w:after="120" w:line="320" w:lineRule="atLeast"/>
        <w:jc w:val="both"/>
        <w:rPr>
          <w:rFonts w:ascii="Arial" w:hAnsi="Arial" w:cs="Arial"/>
          <w:sz w:val="22"/>
          <w:szCs w:val="22"/>
        </w:rPr>
      </w:pPr>
      <w:r w:rsidRPr="00503561">
        <w:rPr>
          <w:rFonts w:ascii="Arial" w:hAnsi="Arial" w:cs="Arial"/>
          <w:sz w:val="22"/>
          <w:szCs w:val="22"/>
        </w:rPr>
        <w:t xml:space="preserve">Zadavatel k dotazu uchazeče uvádí, že monitoring vlastního chodu dalších integrovaných systémů není v rozsahu požadavků souvisejících s rolí systémového integrátora. Zadavatel však požaduje s poukazem na požadavky Id I001 až Id I014 Přílohy č. 6 </w:t>
      </w:r>
      <w:r w:rsidR="006406E1">
        <w:rPr>
          <w:rFonts w:ascii="Arial" w:hAnsi="Arial" w:cs="Arial"/>
          <w:sz w:val="22"/>
          <w:szCs w:val="22"/>
        </w:rPr>
        <w:t>z</w:t>
      </w:r>
      <w:r w:rsidRPr="00503561">
        <w:rPr>
          <w:rFonts w:ascii="Arial" w:hAnsi="Arial" w:cs="Arial"/>
          <w:sz w:val="22"/>
          <w:szCs w:val="22"/>
        </w:rPr>
        <w:t xml:space="preserve">adávací dokumentace </w:t>
      </w:r>
      <w:r w:rsidR="006406E1">
        <w:rPr>
          <w:rFonts w:ascii="Arial" w:hAnsi="Arial" w:cs="Arial"/>
          <w:sz w:val="22"/>
          <w:szCs w:val="22"/>
        </w:rPr>
        <w:t xml:space="preserve">s názvem </w:t>
      </w:r>
      <w:r w:rsidRPr="00503561">
        <w:rPr>
          <w:rFonts w:ascii="Arial" w:hAnsi="Arial" w:cs="Arial"/>
          <w:sz w:val="22"/>
          <w:szCs w:val="22"/>
        </w:rPr>
        <w:t>„Funkční a technické požadavky“ provozovat a spravovat úložiště zdrojového kódu celého řešení i jednotlivých aplikací a zajistí přístup ke zdrojovému kódu pro dodavatele dalších aplikací. Předpokladem je, že poskytovatelé dalších aplikací provozovaných nad společným technologickým rámcem (</w:t>
      </w:r>
      <w:proofErr w:type="spellStart"/>
      <w:r w:rsidRPr="00503561">
        <w:rPr>
          <w:rFonts w:ascii="Arial" w:hAnsi="Arial" w:cs="Arial"/>
          <w:sz w:val="22"/>
          <w:szCs w:val="22"/>
        </w:rPr>
        <w:t>frameworkem</w:t>
      </w:r>
      <w:proofErr w:type="spellEnd"/>
      <w:r w:rsidRPr="00503561">
        <w:rPr>
          <w:rFonts w:ascii="Arial" w:hAnsi="Arial" w:cs="Arial"/>
          <w:sz w:val="22"/>
          <w:szCs w:val="22"/>
        </w:rPr>
        <w:t xml:space="preserve">) či v jeho rámci budou poskytovat zdrojové kódy případných dalších aplikací, v rozsahu vymezeném smlouvami s případnými dalšími poskytovateli, do společného úložiště provozovaného </w:t>
      </w:r>
      <w:r w:rsidR="004C5C5C">
        <w:rPr>
          <w:rFonts w:ascii="Arial" w:hAnsi="Arial" w:cs="Arial"/>
          <w:sz w:val="22"/>
          <w:szCs w:val="22"/>
        </w:rPr>
        <w:br/>
      </w:r>
      <w:bookmarkStart w:id="0" w:name="_GoBack"/>
      <w:bookmarkEnd w:id="0"/>
      <w:r w:rsidRPr="00503561">
        <w:rPr>
          <w:rFonts w:ascii="Arial" w:hAnsi="Arial" w:cs="Arial"/>
          <w:sz w:val="22"/>
          <w:szCs w:val="22"/>
        </w:rPr>
        <w:t>ve správě systémového integrátora. Systémový integrátor bude řešit sporné situace a kolize v technickém návrhu nových aplikací a modulů, a to především v zájmu Objednatele (viz Id I006 a Id I008), tak aby zdrojové kódy byly vždy v aktuální verzi funkční jako celek.</w:t>
      </w:r>
    </w:p>
    <w:p w14:paraId="7BE357C6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5BAB33B9" w14:textId="77777777" w:rsidR="00145469" w:rsidRDefault="00145469" w:rsidP="00145469">
      <w:pPr>
        <w:jc w:val="both"/>
        <w:rPr>
          <w:rFonts w:ascii="Arial" w:hAnsi="Arial" w:cs="Arial"/>
          <w:sz w:val="22"/>
          <w:szCs w:val="22"/>
        </w:rPr>
      </w:pPr>
    </w:p>
    <w:p w14:paraId="7FEE8150" w14:textId="722C66AD" w:rsidR="00784AAA" w:rsidRPr="00503561" w:rsidRDefault="00145469" w:rsidP="00E12464">
      <w:pPr>
        <w:jc w:val="both"/>
        <w:rPr>
          <w:rFonts w:ascii="Arial" w:hAnsi="Arial" w:cs="Arial"/>
          <w:sz w:val="22"/>
          <w:szCs w:val="22"/>
        </w:rPr>
      </w:pPr>
      <w:r w:rsidRPr="00503561">
        <w:rPr>
          <w:rFonts w:ascii="Arial" w:hAnsi="Arial" w:cs="Arial"/>
          <w:sz w:val="22"/>
          <w:szCs w:val="22"/>
        </w:rPr>
        <w:t>V Praze dne 24. března 2014</w:t>
      </w:r>
    </w:p>
    <w:p w14:paraId="6BE37AEF" w14:textId="77777777" w:rsidR="00784AAA" w:rsidRPr="00E12464" w:rsidRDefault="00784AAA" w:rsidP="00E12464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10F0068F" w14:textId="77777777" w:rsidR="00784AAA" w:rsidRPr="00E12464" w:rsidRDefault="00784AAA" w:rsidP="00E12464">
      <w:pPr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16E4CEDB" w14:textId="77777777" w:rsidR="006562A9" w:rsidRPr="005C6522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8F46A1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8F46A1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8F46A1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8F46A1" w:rsidRDefault="00FB1B07" w:rsidP="001D5F52">
      <w:pPr>
        <w:rPr>
          <w:rFonts w:ascii="Arial" w:hAnsi="Arial" w:cs="Arial"/>
          <w:b/>
          <w:sz w:val="20"/>
          <w:szCs w:val="20"/>
        </w:rPr>
      </w:pPr>
      <w:r w:rsidRPr="008F46A1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8F46A1" w:rsidSect="00BB44B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FC368" w14:textId="77777777" w:rsidR="00955C5D" w:rsidRDefault="00955C5D">
      <w:r>
        <w:separator/>
      </w:r>
    </w:p>
  </w:endnote>
  <w:endnote w:type="continuationSeparator" w:id="0">
    <w:p w14:paraId="6C041DC7" w14:textId="77777777" w:rsidR="00955C5D" w:rsidRDefault="00955C5D">
      <w:r>
        <w:continuationSeparator/>
      </w:r>
    </w:p>
  </w:endnote>
  <w:endnote w:type="continuationNotice" w:id="1">
    <w:p w14:paraId="4E16C48F" w14:textId="77777777" w:rsidR="00955C5D" w:rsidRDefault="00955C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A" w14:textId="77777777" w:rsidR="0090206F" w:rsidRPr="00B93586" w:rsidRDefault="0090206F" w:rsidP="00B935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C" w14:textId="77777777" w:rsidR="0090206F" w:rsidRPr="00B93586" w:rsidRDefault="0090206F" w:rsidP="00B9358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B35F52" w14:textId="77777777" w:rsidR="00B93586" w:rsidRDefault="00B935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4B211A" w14:textId="77777777" w:rsidR="00955C5D" w:rsidRDefault="00955C5D">
      <w:r>
        <w:separator/>
      </w:r>
    </w:p>
  </w:footnote>
  <w:footnote w:type="continuationSeparator" w:id="0">
    <w:p w14:paraId="5B42C9CB" w14:textId="77777777" w:rsidR="00955C5D" w:rsidRDefault="00955C5D">
      <w:r>
        <w:continuationSeparator/>
      </w:r>
    </w:p>
  </w:footnote>
  <w:footnote w:type="continuationNotice" w:id="1">
    <w:p w14:paraId="54DC97EB" w14:textId="77777777" w:rsidR="00955C5D" w:rsidRDefault="00955C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92C34" w14:textId="77777777" w:rsidR="00B93586" w:rsidRDefault="00B935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8" w14:textId="77777777" w:rsidR="0090206F" w:rsidRPr="00B93586" w:rsidRDefault="0090206F" w:rsidP="00B935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4C681917" w:rsidR="0090206F" w:rsidRPr="00B93586" w:rsidRDefault="0090206F" w:rsidP="00B935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BA5140"/>
    <w:multiLevelType w:val="hybridMultilevel"/>
    <w:tmpl w:val="5748D782"/>
    <w:lvl w:ilvl="0" w:tplc="D4BCDBE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5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96025"/>
    <w:multiLevelType w:val="hybridMultilevel"/>
    <w:tmpl w:val="5F9EC3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A36EC5"/>
    <w:multiLevelType w:val="hybridMultilevel"/>
    <w:tmpl w:val="D9A66C1C"/>
    <w:lvl w:ilvl="0" w:tplc="8D266562">
      <w:start w:val="1"/>
      <w:numFmt w:val="decimal"/>
      <w:lvlText w:val="Dotaz č. %1: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6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D040E"/>
    <w:multiLevelType w:val="hybridMultilevel"/>
    <w:tmpl w:val="7BBC49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4620703D"/>
    <w:multiLevelType w:val="hybridMultilevel"/>
    <w:tmpl w:val="0E8C5916"/>
    <w:lvl w:ilvl="0" w:tplc="A9385A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8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FB0754"/>
    <w:multiLevelType w:val="hybridMultilevel"/>
    <w:tmpl w:val="9B3A7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6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F00DC"/>
    <w:multiLevelType w:val="hybridMultilevel"/>
    <w:tmpl w:val="EF0E8066"/>
    <w:lvl w:ilvl="0" w:tplc="7AF47BE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871AD0"/>
    <w:multiLevelType w:val="hybridMultilevel"/>
    <w:tmpl w:val="C48CB8B0"/>
    <w:lvl w:ilvl="0" w:tplc="4C7A433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44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"/>
  </w:num>
  <w:num w:numId="3">
    <w:abstractNumId w:val="24"/>
  </w:num>
  <w:num w:numId="4">
    <w:abstractNumId w:val="16"/>
  </w:num>
  <w:num w:numId="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3"/>
  </w:num>
  <w:num w:numId="11">
    <w:abstractNumId w:val="9"/>
  </w:num>
  <w:num w:numId="12">
    <w:abstractNumId w:val="15"/>
  </w:num>
  <w:num w:numId="13">
    <w:abstractNumId w:val="26"/>
  </w:num>
  <w:num w:numId="14">
    <w:abstractNumId w:val="42"/>
  </w:num>
  <w:num w:numId="15">
    <w:abstractNumId w:val="39"/>
  </w:num>
  <w:num w:numId="16">
    <w:abstractNumId w:val="32"/>
  </w:num>
  <w:num w:numId="17">
    <w:abstractNumId w:val="0"/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</w:num>
  <w:num w:numId="20">
    <w:abstractNumId w:val="33"/>
  </w:num>
  <w:num w:numId="21">
    <w:abstractNumId w:val="23"/>
  </w:num>
  <w:num w:numId="22">
    <w:abstractNumId w:val="28"/>
  </w:num>
  <w:num w:numId="23">
    <w:abstractNumId w:val="44"/>
  </w:num>
  <w:num w:numId="24">
    <w:abstractNumId w:val="13"/>
  </w:num>
  <w:num w:numId="25">
    <w:abstractNumId w:val="12"/>
  </w:num>
  <w:num w:numId="26">
    <w:abstractNumId w:val="35"/>
  </w:num>
  <w:num w:numId="27">
    <w:abstractNumId w:val="37"/>
  </w:num>
  <w:num w:numId="28">
    <w:abstractNumId w:val="8"/>
  </w:num>
  <w:num w:numId="29">
    <w:abstractNumId w:val="10"/>
  </w:num>
  <w:num w:numId="30">
    <w:abstractNumId w:val="31"/>
  </w:num>
  <w:num w:numId="31">
    <w:abstractNumId w:val="41"/>
  </w:num>
  <w:num w:numId="32">
    <w:abstractNumId w:val="2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</w:num>
  <w:num w:numId="36">
    <w:abstractNumId w:val="30"/>
  </w:num>
  <w:num w:numId="3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11"/>
  </w:num>
  <w:num w:numId="40">
    <w:abstractNumId w:val="18"/>
  </w:num>
  <w:num w:numId="41">
    <w:abstractNumId w:val="19"/>
  </w:num>
  <w:num w:numId="42">
    <w:abstractNumId w:val="27"/>
  </w:num>
  <w:num w:numId="43">
    <w:abstractNumId w:val="7"/>
  </w:num>
  <w:num w:numId="44">
    <w:abstractNumId w:val="34"/>
  </w:num>
  <w:num w:numId="45">
    <w:abstractNumId w:val="22"/>
  </w:num>
  <w:num w:numId="46">
    <w:abstractNumId w:val="1"/>
  </w:num>
  <w:num w:numId="47">
    <w:abstractNumId w:val="38"/>
  </w:num>
  <w:num w:numId="48">
    <w:abstractNumId w:val="20"/>
  </w:num>
  <w:num w:numId="49">
    <w:abstractNumId w:val="40"/>
  </w:num>
  <w:num w:numId="5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4F9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52DBC"/>
    <w:rsid w:val="00053764"/>
    <w:rsid w:val="00064C5D"/>
    <w:rsid w:val="00066C75"/>
    <w:rsid w:val="00070DF4"/>
    <w:rsid w:val="00072187"/>
    <w:rsid w:val="00072205"/>
    <w:rsid w:val="00074B88"/>
    <w:rsid w:val="000772E9"/>
    <w:rsid w:val="00080DD8"/>
    <w:rsid w:val="0008486A"/>
    <w:rsid w:val="00087412"/>
    <w:rsid w:val="000A401C"/>
    <w:rsid w:val="000A474C"/>
    <w:rsid w:val="000A4EB9"/>
    <w:rsid w:val="000B0C90"/>
    <w:rsid w:val="000C404D"/>
    <w:rsid w:val="000D19F1"/>
    <w:rsid w:val="000D5F05"/>
    <w:rsid w:val="000D7EF4"/>
    <w:rsid w:val="000E2605"/>
    <w:rsid w:val="000F104B"/>
    <w:rsid w:val="000F29BC"/>
    <w:rsid w:val="000F4268"/>
    <w:rsid w:val="0010082B"/>
    <w:rsid w:val="00105552"/>
    <w:rsid w:val="00111576"/>
    <w:rsid w:val="00124B93"/>
    <w:rsid w:val="00125A2A"/>
    <w:rsid w:val="00127F43"/>
    <w:rsid w:val="001329F3"/>
    <w:rsid w:val="00133748"/>
    <w:rsid w:val="0013537D"/>
    <w:rsid w:val="00143374"/>
    <w:rsid w:val="00145469"/>
    <w:rsid w:val="00145853"/>
    <w:rsid w:val="00145970"/>
    <w:rsid w:val="0015673B"/>
    <w:rsid w:val="00157E9F"/>
    <w:rsid w:val="00163920"/>
    <w:rsid w:val="001672AD"/>
    <w:rsid w:val="00167CFE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C051F"/>
    <w:rsid w:val="001C436E"/>
    <w:rsid w:val="001C4EBC"/>
    <w:rsid w:val="001C5030"/>
    <w:rsid w:val="001C6EC1"/>
    <w:rsid w:val="001C780F"/>
    <w:rsid w:val="001D029C"/>
    <w:rsid w:val="001D5F52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35D48"/>
    <w:rsid w:val="00236E25"/>
    <w:rsid w:val="00237973"/>
    <w:rsid w:val="002410F9"/>
    <w:rsid w:val="00241AC6"/>
    <w:rsid w:val="0024305E"/>
    <w:rsid w:val="0024696A"/>
    <w:rsid w:val="0025036D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2ACF"/>
    <w:rsid w:val="002830A6"/>
    <w:rsid w:val="002836A4"/>
    <w:rsid w:val="00284563"/>
    <w:rsid w:val="00287671"/>
    <w:rsid w:val="00287CB4"/>
    <w:rsid w:val="00290595"/>
    <w:rsid w:val="002954B8"/>
    <w:rsid w:val="002964A1"/>
    <w:rsid w:val="002A5D36"/>
    <w:rsid w:val="002A7D3E"/>
    <w:rsid w:val="002B1CAA"/>
    <w:rsid w:val="002B304F"/>
    <w:rsid w:val="002B4110"/>
    <w:rsid w:val="002B472C"/>
    <w:rsid w:val="002C2462"/>
    <w:rsid w:val="002D09D7"/>
    <w:rsid w:val="002D4DB5"/>
    <w:rsid w:val="002D75C0"/>
    <w:rsid w:val="002E4C77"/>
    <w:rsid w:val="002F3E48"/>
    <w:rsid w:val="002F5093"/>
    <w:rsid w:val="002F5CEB"/>
    <w:rsid w:val="002F7353"/>
    <w:rsid w:val="00300568"/>
    <w:rsid w:val="00307BBD"/>
    <w:rsid w:val="00307CCF"/>
    <w:rsid w:val="00310BE3"/>
    <w:rsid w:val="0031174B"/>
    <w:rsid w:val="00311756"/>
    <w:rsid w:val="003140F9"/>
    <w:rsid w:val="0031507D"/>
    <w:rsid w:val="00317891"/>
    <w:rsid w:val="00323F4D"/>
    <w:rsid w:val="00325ACC"/>
    <w:rsid w:val="00331330"/>
    <w:rsid w:val="00341091"/>
    <w:rsid w:val="00344ED3"/>
    <w:rsid w:val="00351667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0397"/>
    <w:rsid w:val="00381363"/>
    <w:rsid w:val="0038790A"/>
    <w:rsid w:val="00392F02"/>
    <w:rsid w:val="003B5AFE"/>
    <w:rsid w:val="003B6310"/>
    <w:rsid w:val="003B7BF5"/>
    <w:rsid w:val="003C500C"/>
    <w:rsid w:val="003C57B9"/>
    <w:rsid w:val="003C5EAA"/>
    <w:rsid w:val="003C74FC"/>
    <w:rsid w:val="003D1AFF"/>
    <w:rsid w:val="003D50CE"/>
    <w:rsid w:val="003D75D2"/>
    <w:rsid w:val="003D7788"/>
    <w:rsid w:val="003E433B"/>
    <w:rsid w:val="003E7284"/>
    <w:rsid w:val="003F1619"/>
    <w:rsid w:val="003F5539"/>
    <w:rsid w:val="003F559B"/>
    <w:rsid w:val="004042B1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46DCC"/>
    <w:rsid w:val="00447444"/>
    <w:rsid w:val="0045115E"/>
    <w:rsid w:val="004511C8"/>
    <w:rsid w:val="004512DD"/>
    <w:rsid w:val="00456763"/>
    <w:rsid w:val="00456F78"/>
    <w:rsid w:val="0045754F"/>
    <w:rsid w:val="004661DC"/>
    <w:rsid w:val="00473079"/>
    <w:rsid w:val="00473D8E"/>
    <w:rsid w:val="00485A07"/>
    <w:rsid w:val="00491EA9"/>
    <w:rsid w:val="00493F12"/>
    <w:rsid w:val="00496DD9"/>
    <w:rsid w:val="00497CE8"/>
    <w:rsid w:val="004A3A00"/>
    <w:rsid w:val="004A51F7"/>
    <w:rsid w:val="004A5A9D"/>
    <w:rsid w:val="004A7985"/>
    <w:rsid w:val="004B265E"/>
    <w:rsid w:val="004C3704"/>
    <w:rsid w:val="004C5C5C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3561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649CE"/>
    <w:rsid w:val="00570526"/>
    <w:rsid w:val="00571B79"/>
    <w:rsid w:val="0057454B"/>
    <w:rsid w:val="00575442"/>
    <w:rsid w:val="005759CB"/>
    <w:rsid w:val="0059229E"/>
    <w:rsid w:val="0059471F"/>
    <w:rsid w:val="005B0057"/>
    <w:rsid w:val="005B1F33"/>
    <w:rsid w:val="005B68A7"/>
    <w:rsid w:val="005C0B94"/>
    <w:rsid w:val="005C2358"/>
    <w:rsid w:val="005C6522"/>
    <w:rsid w:val="005C7575"/>
    <w:rsid w:val="005D6560"/>
    <w:rsid w:val="005E0712"/>
    <w:rsid w:val="005E07F9"/>
    <w:rsid w:val="005E35B4"/>
    <w:rsid w:val="005F2E15"/>
    <w:rsid w:val="005F4274"/>
    <w:rsid w:val="005F5C4B"/>
    <w:rsid w:val="005F6D73"/>
    <w:rsid w:val="005F6F61"/>
    <w:rsid w:val="00602B3C"/>
    <w:rsid w:val="00604E3D"/>
    <w:rsid w:val="00607F2C"/>
    <w:rsid w:val="0061442E"/>
    <w:rsid w:val="006146E4"/>
    <w:rsid w:val="006165E4"/>
    <w:rsid w:val="006179EF"/>
    <w:rsid w:val="006204C1"/>
    <w:rsid w:val="0063046C"/>
    <w:rsid w:val="00630C6F"/>
    <w:rsid w:val="00636C7C"/>
    <w:rsid w:val="006406E1"/>
    <w:rsid w:val="00641A09"/>
    <w:rsid w:val="00641A13"/>
    <w:rsid w:val="00643451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28E2"/>
    <w:rsid w:val="00685011"/>
    <w:rsid w:val="006856A7"/>
    <w:rsid w:val="006873B5"/>
    <w:rsid w:val="00690E6E"/>
    <w:rsid w:val="00696BF6"/>
    <w:rsid w:val="006A433C"/>
    <w:rsid w:val="006A7274"/>
    <w:rsid w:val="006A73A1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2020C"/>
    <w:rsid w:val="0072278A"/>
    <w:rsid w:val="00732D58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84AAA"/>
    <w:rsid w:val="00793DEB"/>
    <w:rsid w:val="007A05D6"/>
    <w:rsid w:val="007A08F6"/>
    <w:rsid w:val="007A4CBB"/>
    <w:rsid w:val="007B19D1"/>
    <w:rsid w:val="007B2A09"/>
    <w:rsid w:val="007B4A13"/>
    <w:rsid w:val="007B7C70"/>
    <w:rsid w:val="007C1C5F"/>
    <w:rsid w:val="007C4F1E"/>
    <w:rsid w:val="007C60C9"/>
    <w:rsid w:val="007D2C68"/>
    <w:rsid w:val="007D2DF0"/>
    <w:rsid w:val="007D3FF1"/>
    <w:rsid w:val="007D60D5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F89"/>
    <w:rsid w:val="008053FF"/>
    <w:rsid w:val="00806877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6AA6"/>
    <w:rsid w:val="00827200"/>
    <w:rsid w:val="00827763"/>
    <w:rsid w:val="00842B6C"/>
    <w:rsid w:val="0084529C"/>
    <w:rsid w:val="00853AC8"/>
    <w:rsid w:val="0085796D"/>
    <w:rsid w:val="00857B13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977C1"/>
    <w:rsid w:val="008A0EE8"/>
    <w:rsid w:val="008A3565"/>
    <w:rsid w:val="008A4EEF"/>
    <w:rsid w:val="008A5370"/>
    <w:rsid w:val="008A6EF4"/>
    <w:rsid w:val="008A6F42"/>
    <w:rsid w:val="008B0852"/>
    <w:rsid w:val="008B40C9"/>
    <w:rsid w:val="008B585D"/>
    <w:rsid w:val="008B6D80"/>
    <w:rsid w:val="008C1C73"/>
    <w:rsid w:val="008C2175"/>
    <w:rsid w:val="008C38EF"/>
    <w:rsid w:val="008D723D"/>
    <w:rsid w:val="008F1269"/>
    <w:rsid w:val="008F46A1"/>
    <w:rsid w:val="008F60B7"/>
    <w:rsid w:val="008F67F2"/>
    <w:rsid w:val="008F7441"/>
    <w:rsid w:val="0090206F"/>
    <w:rsid w:val="009326FB"/>
    <w:rsid w:val="009331EF"/>
    <w:rsid w:val="00937265"/>
    <w:rsid w:val="009406BA"/>
    <w:rsid w:val="0094111E"/>
    <w:rsid w:val="00942B06"/>
    <w:rsid w:val="00942DF9"/>
    <w:rsid w:val="00955C5D"/>
    <w:rsid w:val="0095733F"/>
    <w:rsid w:val="00962220"/>
    <w:rsid w:val="00962703"/>
    <w:rsid w:val="009704B3"/>
    <w:rsid w:val="00983A1B"/>
    <w:rsid w:val="00985BA8"/>
    <w:rsid w:val="00987119"/>
    <w:rsid w:val="0098784B"/>
    <w:rsid w:val="009907C0"/>
    <w:rsid w:val="00993289"/>
    <w:rsid w:val="009933CC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3D5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22BE"/>
    <w:rsid w:val="00A05A85"/>
    <w:rsid w:val="00A07FB6"/>
    <w:rsid w:val="00A1575A"/>
    <w:rsid w:val="00A23C70"/>
    <w:rsid w:val="00A24622"/>
    <w:rsid w:val="00A27E39"/>
    <w:rsid w:val="00A31705"/>
    <w:rsid w:val="00A36FB7"/>
    <w:rsid w:val="00A43F4B"/>
    <w:rsid w:val="00A44171"/>
    <w:rsid w:val="00A52940"/>
    <w:rsid w:val="00A57288"/>
    <w:rsid w:val="00A615BF"/>
    <w:rsid w:val="00A642BE"/>
    <w:rsid w:val="00A70EE7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A1D35"/>
    <w:rsid w:val="00AB3DBC"/>
    <w:rsid w:val="00AC0DCB"/>
    <w:rsid w:val="00AC5F57"/>
    <w:rsid w:val="00AC699D"/>
    <w:rsid w:val="00AD051E"/>
    <w:rsid w:val="00AD0E88"/>
    <w:rsid w:val="00AD4124"/>
    <w:rsid w:val="00AD61F2"/>
    <w:rsid w:val="00AD66BC"/>
    <w:rsid w:val="00AD7FB8"/>
    <w:rsid w:val="00AE1526"/>
    <w:rsid w:val="00AE1BBF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63C2"/>
    <w:rsid w:val="00B30EF1"/>
    <w:rsid w:val="00B341E2"/>
    <w:rsid w:val="00B405FF"/>
    <w:rsid w:val="00B54570"/>
    <w:rsid w:val="00B549FF"/>
    <w:rsid w:val="00B623F0"/>
    <w:rsid w:val="00B632D0"/>
    <w:rsid w:val="00B653AB"/>
    <w:rsid w:val="00B66768"/>
    <w:rsid w:val="00B70168"/>
    <w:rsid w:val="00B7286F"/>
    <w:rsid w:val="00B73F65"/>
    <w:rsid w:val="00B754E7"/>
    <w:rsid w:val="00B862AA"/>
    <w:rsid w:val="00B87710"/>
    <w:rsid w:val="00B93586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3F41"/>
    <w:rsid w:val="00BE5F86"/>
    <w:rsid w:val="00BE7357"/>
    <w:rsid w:val="00BE7FDA"/>
    <w:rsid w:val="00BF1B09"/>
    <w:rsid w:val="00BF206C"/>
    <w:rsid w:val="00BF387A"/>
    <w:rsid w:val="00BF4ACF"/>
    <w:rsid w:val="00C01800"/>
    <w:rsid w:val="00C02455"/>
    <w:rsid w:val="00C05B66"/>
    <w:rsid w:val="00C07A26"/>
    <w:rsid w:val="00C12DC9"/>
    <w:rsid w:val="00C14F65"/>
    <w:rsid w:val="00C17F26"/>
    <w:rsid w:val="00C21DBF"/>
    <w:rsid w:val="00C22555"/>
    <w:rsid w:val="00C24164"/>
    <w:rsid w:val="00C26F95"/>
    <w:rsid w:val="00C306F1"/>
    <w:rsid w:val="00C3297C"/>
    <w:rsid w:val="00C412E6"/>
    <w:rsid w:val="00C45701"/>
    <w:rsid w:val="00C46AB1"/>
    <w:rsid w:val="00C5052B"/>
    <w:rsid w:val="00C610C1"/>
    <w:rsid w:val="00C61C09"/>
    <w:rsid w:val="00C72A3D"/>
    <w:rsid w:val="00C73915"/>
    <w:rsid w:val="00C73F32"/>
    <w:rsid w:val="00C75471"/>
    <w:rsid w:val="00C775FF"/>
    <w:rsid w:val="00C80DE6"/>
    <w:rsid w:val="00C8338D"/>
    <w:rsid w:val="00C86313"/>
    <w:rsid w:val="00C92675"/>
    <w:rsid w:val="00C97DC6"/>
    <w:rsid w:val="00CA462E"/>
    <w:rsid w:val="00CA68BE"/>
    <w:rsid w:val="00CA77D6"/>
    <w:rsid w:val="00CB3734"/>
    <w:rsid w:val="00CB60ED"/>
    <w:rsid w:val="00CC538A"/>
    <w:rsid w:val="00CD0676"/>
    <w:rsid w:val="00CD0F1D"/>
    <w:rsid w:val="00CD5A58"/>
    <w:rsid w:val="00CE4549"/>
    <w:rsid w:val="00D01073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24D6E"/>
    <w:rsid w:val="00D27658"/>
    <w:rsid w:val="00D313CF"/>
    <w:rsid w:val="00D352F9"/>
    <w:rsid w:val="00D47E8F"/>
    <w:rsid w:val="00D60D8C"/>
    <w:rsid w:val="00D71B6F"/>
    <w:rsid w:val="00D85572"/>
    <w:rsid w:val="00D86EA6"/>
    <w:rsid w:val="00D87072"/>
    <w:rsid w:val="00D96414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319B"/>
    <w:rsid w:val="00DC4F08"/>
    <w:rsid w:val="00DC52A3"/>
    <w:rsid w:val="00DD3FAB"/>
    <w:rsid w:val="00DD4D49"/>
    <w:rsid w:val="00DD5A29"/>
    <w:rsid w:val="00DD78FB"/>
    <w:rsid w:val="00DD7B8D"/>
    <w:rsid w:val="00DE0E3D"/>
    <w:rsid w:val="00DE616E"/>
    <w:rsid w:val="00DE7302"/>
    <w:rsid w:val="00DE742B"/>
    <w:rsid w:val="00DF2EA6"/>
    <w:rsid w:val="00DF38A9"/>
    <w:rsid w:val="00DF5417"/>
    <w:rsid w:val="00DF5643"/>
    <w:rsid w:val="00E0214A"/>
    <w:rsid w:val="00E021F4"/>
    <w:rsid w:val="00E051E1"/>
    <w:rsid w:val="00E0534D"/>
    <w:rsid w:val="00E103FE"/>
    <w:rsid w:val="00E12464"/>
    <w:rsid w:val="00E14591"/>
    <w:rsid w:val="00E23706"/>
    <w:rsid w:val="00E26871"/>
    <w:rsid w:val="00E304C8"/>
    <w:rsid w:val="00E30AC8"/>
    <w:rsid w:val="00E3639D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5A"/>
    <w:rsid w:val="00E825E8"/>
    <w:rsid w:val="00E83663"/>
    <w:rsid w:val="00E83A69"/>
    <w:rsid w:val="00E840E3"/>
    <w:rsid w:val="00E92958"/>
    <w:rsid w:val="00E94C86"/>
    <w:rsid w:val="00E97874"/>
    <w:rsid w:val="00EA0A02"/>
    <w:rsid w:val="00EA20EB"/>
    <w:rsid w:val="00EA39F3"/>
    <w:rsid w:val="00EB3F67"/>
    <w:rsid w:val="00EB4347"/>
    <w:rsid w:val="00EB70BF"/>
    <w:rsid w:val="00EC0074"/>
    <w:rsid w:val="00EC581C"/>
    <w:rsid w:val="00EC667A"/>
    <w:rsid w:val="00EC7275"/>
    <w:rsid w:val="00ED0167"/>
    <w:rsid w:val="00ED4E5A"/>
    <w:rsid w:val="00ED6720"/>
    <w:rsid w:val="00EE1F37"/>
    <w:rsid w:val="00EE272A"/>
    <w:rsid w:val="00EE2F5C"/>
    <w:rsid w:val="00EE3DBB"/>
    <w:rsid w:val="00EF4A59"/>
    <w:rsid w:val="00EF6C72"/>
    <w:rsid w:val="00F04EB5"/>
    <w:rsid w:val="00F05EAD"/>
    <w:rsid w:val="00F06508"/>
    <w:rsid w:val="00F11D5A"/>
    <w:rsid w:val="00F15F26"/>
    <w:rsid w:val="00F268B4"/>
    <w:rsid w:val="00F45BAE"/>
    <w:rsid w:val="00F52FB4"/>
    <w:rsid w:val="00F5705D"/>
    <w:rsid w:val="00F576B1"/>
    <w:rsid w:val="00F60119"/>
    <w:rsid w:val="00F66ED0"/>
    <w:rsid w:val="00F77A66"/>
    <w:rsid w:val="00F93525"/>
    <w:rsid w:val="00F9414A"/>
    <w:rsid w:val="00F9464A"/>
    <w:rsid w:val="00F95815"/>
    <w:rsid w:val="00F9657B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68F7"/>
    <w:rsid w:val="00FB7DAA"/>
    <w:rsid w:val="00FC2F78"/>
    <w:rsid w:val="00FD457D"/>
    <w:rsid w:val="00FD7EBA"/>
    <w:rsid w:val="00FE1B6E"/>
    <w:rsid w:val="00FE1D0D"/>
    <w:rsid w:val="00FE2698"/>
    <w:rsid w:val="00FE55BF"/>
    <w:rsid w:val="00FE722C"/>
    <w:rsid w:val="00FF0538"/>
    <w:rsid w:val="00FF25B7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56763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table" w:customStyle="1" w:styleId="TableGrid1">
    <w:name w:val="Table Grid1"/>
    <w:basedOn w:val="Normlntabulka"/>
    <w:next w:val="Mkatabulky"/>
    <w:uiPriority w:val="59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rsid w:val="00DC3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512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cid:image004.png@01CF4503.749F9E70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image" Target="http://www.mpsv.cz/images/clanky/5699/logoMPSV-m-sm.jpg" TargetMode="External"/><Relationship Id="rId17" Type="http://schemas.openxmlformats.org/officeDocument/2006/relationships/image" Target="media/image4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cid:image003.png@01CF4503.749F9E70" TargetMode="External"/><Relationship Id="rId20" Type="http://schemas.openxmlformats.org/officeDocument/2006/relationships/image" Target="cid:image005.png@01CF4503.749F9E70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yperlink" Target="http://www.strukturalni-fondy.cz/cs/Fondy-EU/Kohezni-politika-EU/Metodicke-pokyny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image" Target="cid:image007.png@01CF4503.EC595690" TargetMode="External"/><Relationship Id="rId22" Type="http://schemas.openxmlformats.org/officeDocument/2006/relationships/image" Target="cid:image006.png@01CF4503.749F9E70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pZZ6KGvhg3HHkA5uClZfri7X4mY=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msyK+8fxhTqc+7Wae48KUqzvX1o=</DigestValue>
    </Reference>
  </SignedInfo>
  <SignatureValue>hwq5FcruCDzKzEwMqHtFgbhxFaZB/cDDere0NUxkm+YX/5sn1w9QugdZuNXmBKDOC4pNZ+p3jIQX
MekQW5a+FtiXbnZbSk0mjh0f/xCCyAMBVwBA/75BwGmfgFL/tIWK5rn/AYxcj6zFCBTt6sjO4Q7I
pkGPeL3hz01Jv26Cy0bm7JArSrqYpXtIql5JHxjdYEXgmjMGfZ6ZXiQ66mov6Up1jKj39Q1OKs6F
NAOEI6dyOZGinvq7fg15mtv1Pqo5JBJeUWS5E1nFMr0OXxcSyEZmyu+bJLkXN73eHDPES36u4yWZ
4vQcrkDRntmKh2CVLlwDHtc2Gls7CyWocQH+9g==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y9fishwamacZLo6BUvpj/S5s5Pk=</DigestValue>
      </Reference>
      <Reference URI="/word/media/image4.png?ContentType=image/png">
        <DigestMethod Algorithm="http://www.w3.org/2000/09/xmldsig#sha1"/>
        <DigestValue>vUxbD4/2T0U3YWjMtgBt0pmbi70=</DigestValue>
      </Reference>
      <Reference URI="/word/media/image5.png?ContentType=image/png">
        <DigestMethod Algorithm="http://www.w3.org/2000/09/xmldsig#sha1"/>
        <DigestValue>5YU8G3PJhbMB9tzayRMTPHye/ng=</DigestValue>
      </Reference>
      <Reference URI="/word/media/image2.png?ContentType=image/png">
        <DigestMethod Algorithm="http://www.w3.org/2000/09/xmldsig#sha1"/>
        <DigestValue>Jeh4VBoHCvJIMv4UQBtnjdIn+BQ=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PoYtmsjbYhm4RFfDteY+5ct2E9A=</DigestValue>
      </Reference>
      <Reference URI="/word/webSettings.xml?ContentType=application/vnd.openxmlformats-officedocument.wordprocessingml.webSettings+xml">
        <DigestMethod Algorithm="http://www.w3.org/2000/09/xmldsig#sha1"/>
        <DigestValue>ZrL9nFKl/wf8psap/dmm62Keitc=</DigestValue>
      </Reference>
      <Reference URI="/word/numbering.xml?ContentType=application/vnd.openxmlformats-officedocument.wordprocessingml.numbering+xml">
        <DigestMethod Algorithm="http://www.w3.org/2000/09/xmldsig#sha1"/>
        <DigestValue>HYse3hjhAT5jTk0fM2cASNRxmGw=</DigestValue>
      </Reference>
      <Reference URI="/word/styles.xml?ContentType=application/vnd.openxmlformats-officedocument.wordprocessingml.styles+xml">
        <DigestMethod Algorithm="http://www.w3.org/2000/09/xmldsig#sha1"/>
        <DigestValue>iujPMMCrwB2JqUT4x6Os1kwURJk=</DigestValue>
      </Reference>
      <Reference URI="/word/media/image3.png?ContentType=image/png">
        <DigestMethod Algorithm="http://www.w3.org/2000/09/xmldsig#sha1"/>
        <DigestValue>dING9RrFtraGO4pIrvrsFbj4nrg=</DigestValue>
      </Reference>
      <Reference URI="/word/media/image6.png?ContentType=image/png">
        <DigestMethod Algorithm="http://www.w3.org/2000/09/xmldsig#sha1"/>
        <DigestValue>gPBsSdCBEkN/eci/ggvFdlPWAro=</DigestValue>
      </Reference>
      <Reference URI="/word/footer2.xml?ContentType=application/vnd.openxmlformats-officedocument.wordprocessingml.footer+xml">
        <DigestMethod Algorithm="http://www.w3.org/2000/09/xmldsig#sha1"/>
        <DigestValue>w6cRcRk2w55+nIVmeUnzLOFJ7pw=</DigestValue>
      </Reference>
      <Reference URI="/word/document.xml?ContentType=application/vnd.openxmlformats-officedocument.wordprocessingml.document.main+xml">
        <DigestMethod Algorithm="http://www.w3.org/2000/09/xmldsig#sha1"/>
        <DigestValue>Xrzm11MIkuznXWAfTvxJXmNRnB4=</DigestValue>
      </Reference>
      <Reference URI="/word/footer3.xml?ContentType=application/vnd.openxmlformats-officedocument.wordprocessingml.footer+xml">
        <DigestMethod Algorithm="http://www.w3.org/2000/09/xmldsig#sha1"/>
        <DigestValue>NgwH2WYywzH0VvZvGRQPxdyOrXQ=</DigestValue>
      </Reference>
      <Reference URI="/word/endnotes.xml?ContentType=application/vnd.openxmlformats-officedocument.wordprocessingml.endnotes+xml">
        <DigestMethod Algorithm="http://www.w3.org/2000/09/xmldsig#sha1"/>
        <DigestValue>9vxuppwX/BTH0Na8WPbRWgrdhb4=</DigestValue>
      </Reference>
      <Reference URI="/word/fontTable.xml?ContentType=application/vnd.openxmlformats-officedocument.wordprocessingml.fontTable+xml">
        <DigestMethod Algorithm="http://www.w3.org/2000/09/xmldsig#sha1"/>
        <DigestValue>n7AOJc8l5HRXcsDm+s1uf2prnGI=</DigestValue>
      </Reference>
      <Reference URI="/word/footnotes.xml?ContentType=application/vnd.openxmlformats-officedocument.wordprocessingml.footnotes+xml">
        <DigestMethod Algorithm="http://www.w3.org/2000/09/xmldsig#sha1"/>
        <DigestValue>4FNkkXlP7VwEnvsyM03msPeWADo=</DigestValue>
      </Reference>
      <Reference URI="/word/header1.xml?ContentType=application/vnd.openxmlformats-officedocument.wordprocessingml.header+xml">
        <DigestMethod Algorithm="http://www.w3.org/2000/09/xmldsig#sha1"/>
        <DigestValue>YYf+84uDEZ8Ee1DPx10t2AT5kLY=</DigestValue>
      </Reference>
      <Reference URI="/word/footer1.xml?ContentType=application/vnd.openxmlformats-officedocument.wordprocessingml.footer+xml">
        <DigestMethod Algorithm="http://www.w3.org/2000/09/xmldsig#sha1"/>
        <DigestValue>UxzhsrSpN2ESlpd8AoGsdfKQelc=</DigestValue>
      </Reference>
      <Reference URI="/word/header2.xml?ContentType=application/vnd.openxmlformats-officedocument.wordprocessingml.header+xml">
        <DigestMethod Algorithm="http://www.w3.org/2000/09/xmldsig#sha1"/>
        <DigestValue>kk7OwE0NNpIEr+cZOfo90P0D8Y0=</DigestValue>
      </Reference>
      <Reference URI="/word/header3.xml?ContentType=application/vnd.openxmlformats-officedocument.wordprocessingml.header+xml">
        <DigestMethod Algorithm="http://www.w3.org/2000/09/xmldsig#sha1"/>
        <DigestValue>auXLK+eRiTNIsnlFvGEuCAp9Eoc=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29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10"/>
            <mdssi:RelationshipReference SourceId="rId19"/>
            <mdssi:RelationshipReference SourceId="rId31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</Transform>
          <Transform Algorithm="http://www.w3.org/TR/2001/REC-xml-c14n-20010315"/>
        </Transforms>
        <DigestMethod Algorithm="http://www.w3.org/2000/09/xmldsig#sha1"/>
        <DigestValue>fh+HWE6gI/jOEN9y+yDWxdi1WL0=</DigestValue>
      </Reference>
    </Manifest>
    <SignatureProperties>
      <SignatureProperty Id="idSignatureTime" Target="#idPackageSignature">
        <mdssi:SignatureTime>
          <mdssi:Format>YYYY-MM-DDThh:mm:ssTZD</mdssi:Format>
          <mdssi:Value>2014-03-24T10:20:27Z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2014-03-24T10:20:27Z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 xsi:nil="true"/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infiormation</English_x0020_Title>
    <Document_x0020_State xmlns="5e6c6c5c-474c-4ef7-b7d6-59a0e77cc256">Draft</Document_x0020_State>
    <Category1 xmlns="5e6c6c5c-474c-4ef7-b7d6-59a0e77cc256">Other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C7BDE0-69BC-4171-B4E1-10DA4253E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F2DB78-7641-4E22-8B91-E94ACAF1CACB}">
  <ds:schemaRefs>
    <ds:schemaRef ds:uri="http://schemas.microsoft.com/office/2006/metadata/propertie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3.xml><?xml version="1.0" encoding="utf-8"?>
<ds:datastoreItem xmlns:ds="http://schemas.openxmlformats.org/officeDocument/2006/customXml" ds:itemID="{EF6CB0D3-9E2B-4E08-B705-0BFA7095C4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1566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10897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2014-03-21T13:48:00Z</dcterms:created>
  <dcterms:modified xsi:type="dcterms:W3CDTF">2014-03-24T08:44:00Z</dcterms:modified>
</cp:coreProperties>
</file>